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D51B5" w14:textId="77777777" w:rsidR="00D125E1" w:rsidRPr="000101DB" w:rsidRDefault="00D125E1">
      <w:bookmarkStart w:id="0" w:name="_Hlk213600616"/>
      <w:bookmarkEnd w:id="0"/>
    </w:p>
    <w:p w14:paraId="3BB468B1" w14:textId="77777777" w:rsidR="00D125E1" w:rsidRPr="000101DB" w:rsidRDefault="00AB7CB1">
      <w:r w:rsidRPr="000101DB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B44799E" wp14:editId="5CFA67C8">
                <wp:simplePos x="0" y="0"/>
                <wp:positionH relativeFrom="column">
                  <wp:posOffset>-310515</wp:posOffset>
                </wp:positionH>
                <wp:positionV relativeFrom="paragraph">
                  <wp:posOffset>7207885</wp:posOffset>
                </wp:positionV>
                <wp:extent cx="6652895" cy="1404620"/>
                <wp:effectExtent l="0" t="0" r="0" b="3810"/>
                <wp:wrapSquare wrapText="bothSides"/>
                <wp:docPr id="21132070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304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BC946C" w14:textId="77777777" w:rsidR="00D125E1" w:rsidRDefault="00AB7CB1">
                            <w:pPr>
                              <w:jc w:val="right"/>
                              <w:rPr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spacing w:val="-10"/>
                                <w:kern w:val="28"/>
                                <w:sz w:val="80"/>
                                <w:szCs w:val="80"/>
                                <w:lang w:eastAsia="bg-BG"/>
                              </w:rPr>
                              <w:t>Резюме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4479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.45pt;margin-top:567.55pt;width:523.8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" stroked="f">
                <v:textbox style="mso-fit-shape-to-text:t">
                  <w:txbxContent>
                    <w:p w14:paraId="7CBC946C" w14:textId="77777777" w:rsidR="00D125E1" w:rsidRDefault="00AB7CB1">
                      <w:pPr>
                        <w:jc w:val="right"/>
                        <w:rPr>
                          <w:sz w:val="80"/>
                          <w:szCs w:val="80"/>
                        </w:rPr>
                      </w:pPr>
                      <w:r>
                        <w:rPr>
                          <w:spacing w:val="-10"/>
                          <w:kern w:val="28"/>
                          <w:sz w:val="80"/>
                          <w:szCs w:val="80"/>
                          <w:lang w:eastAsia="bg-BG"/>
                        </w:rPr>
                        <w:t>Резюме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01DB"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0D6C4524" wp14:editId="0DA5359F">
            <wp:simplePos x="0" y="0"/>
            <wp:positionH relativeFrom="margin">
              <wp:align>right</wp:align>
            </wp:positionH>
            <wp:positionV relativeFrom="paragraph">
              <wp:posOffset>208915</wp:posOffset>
            </wp:positionV>
            <wp:extent cx="2297430" cy="1933575"/>
            <wp:effectExtent l="0" t="0" r="7620" b="9525"/>
            <wp:wrapNone/>
            <wp:docPr id="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7430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101DB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606C970" wp14:editId="1D6A9BC4">
                <wp:simplePos x="0" y="0"/>
                <wp:positionH relativeFrom="column">
                  <wp:posOffset>-305435</wp:posOffset>
                </wp:positionH>
                <wp:positionV relativeFrom="paragraph">
                  <wp:posOffset>2791460</wp:posOffset>
                </wp:positionV>
                <wp:extent cx="6652895" cy="140462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304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F1FC032" w14:textId="77777777" w:rsidR="00D125E1" w:rsidRDefault="00AB7CB1">
                            <w:pPr>
                              <w:jc w:val="right"/>
                              <w:rPr>
                                <w:lang w:eastAsia="bg-BG"/>
                              </w:rPr>
                            </w:pPr>
                            <w:r>
                              <w:rPr>
                                <w:caps/>
                                <w:spacing w:val="-10"/>
                                <w:kern w:val="28"/>
                                <w:sz w:val="80"/>
                                <w:szCs w:val="80"/>
                                <w:lang w:eastAsia="bg-BG"/>
                              </w:rPr>
                              <w:t xml:space="preserve">национална концепция за регионално и пространствено развитие </w:t>
                            </w:r>
                          </w:p>
                          <w:p w14:paraId="601D18D3" w14:textId="77777777" w:rsidR="00D125E1" w:rsidRDefault="00D125E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06C970" id="_x0000_s1027" type="#_x0000_t202" style="position:absolute;margin-left:-24.05pt;margin-top:219.8pt;width:523.8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" stroked="f">
                <v:textbox style="mso-fit-shape-to-text:t">
                  <w:txbxContent>
                    <w:p w14:paraId="5F1FC032" w14:textId="77777777" w:rsidR="00D125E1" w:rsidRDefault="00AB7CB1">
                      <w:pPr>
                        <w:jc w:val="right"/>
                        <w:rPr>
                          <w:lang w:eastAsia="bg-BG"/>
                        </w:rPr>
                      </w:pPr>
                      <w:r>
                        <w:rPr>
                          <w:caps/>
                          <w:spacing w:val="-10"/>
                          <w:kern w:val="28"/>
                          <w:sz w:val="80"/>
                          <w:szCs w:val="80"/>
                          <w:lang w:eastAsia="bg-BG"/>
                        </w:rPr>
                        <w:t xml:space="preserve">национална концепция за регионално и пространствено развитие </w:t>
                      </w:r>
                    </w:p>
                    <w:p w14:paraId="601D18D3" w14:textId="77777777" w:rsidR="00D125E1" w:rsidRDefault="00D125E1"/>
                  </w:txbxContent>
                </v:textbox>
                <w10:wrap type="square"/>
              </v:shape>
            </w:pict>
          </mc:Fallback>
        </mc:AlternateContent>
      </w:r>
      <w:r w:rsidRPr="000101D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E66C05" wp14:editId="2BCAD00A">
                <wp:simplePos x="0" y="0"/>
                <wp:positionH relativeFrom="margin">
                  <wp:posOffset>1477010</wp:posOffset>
                </wp:positionH>
                <wp:positionV relativeFrom="paragraph">
                  <wp:posOffset>6311265</wp:posOffset>
                </wp:positionV>
                <wp:extent cx="4867275" cy="523875"/>
                <wp:effectExtent l="0" t="0" r="0" b="0"/>
                <wp:wrapNone/>
                <wp:docPr id="5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2AAF74" w14:textId="77777777" w:rsidR="00D125E1" w:rsidRDefault="00AB7CB1">
                            <w:pPr>
                              <w:jc w:val="right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2026 – 2040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66C05" id="Text Box 1" o:spid="_x0000_s1028" type="#_x0000_t202" style="position:absolute;margin-left:116.3pt;margin-top:496.95pt;width:383.25pt;height:41.2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" filled="f" stroked="f">
                <v:textbox>
                  <w:txbxContent>
                    <w:p w14:paraId="722AAF74" w14:textId="77777777" w:rsidR="00D125E1" w:rsidRDefault="00AB7CB1">
                      <w:pPr>
                        <w:jc w:val="right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>2026 – 2040 г.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101D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9BC968" wp14:editId="598A4FFB">
                <wp:simplePos x="0" y="0"/>
                <wp:positionH relativeFrom="column">
                  <wp:posOffset>1038225</wp:posOffset>
                </wp:positionH>
                <wp:positionV relativeFrom="paragraph">
                  <wp:posOffset>6282055</wp:posOffset>
                </wp:positionV>
                <wp:extent cx="5360035" cy="552450"/>
                <wp:effectExtent l="0" t="0" r="0" b="0"/>
                <wp:wrapNone/>
                <wp:docPr id="5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0239" cy="5524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Rectangle 3" o:spid="_x0000_s1026" o:spt="1" style="position:absolute;left:0pt;margin-left:81.75pt;margin-top:494.65pt;height:43.5pt;width:422.05pt;z-index:251662336;v-text-anchor:middle;mso-width-relative:page;mso-height-relative:page;" fillcolor="#92D050" filled="t" stroked="f" coordsize="21600,21600" o:gfxdata="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C3m4hNoAAAANAQAADwAA&#10;AAAAAAABACAAAAAiAAAAZHJzL2Rvd25yZXYueG1sUEsBAhQAFAAAAAgAh07iQP45sRIUAgAALAQA&#10;AA4AAAAAAAAAAQAgAAAAKQ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 w14:paraId="13212346" w14:textId="77777777" w:rsidR="00D125E1" w:rsidRPr="000101DB" w:rsidRDefault="00D125E1">
      <w:pPr>
        <w:sectPr w:rsidR="00D125E1" w:rsidRPr="000101D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05" w:right="1134" w:bottom="1418" w:left="1418" w:header="270" w:footer="0" w:gutter="0"/>
          <w:pgNumType w:start="1"/>
          <w:cols w:space="708"/>
          <w:titlePg/>
          <w:rtlGutter/>
          <w:docGrid w:linePitch="360"/>
        </w:sectPr>
      </w:pPr>
      <w:bookmarkStart w:id="1" w:name="_Hlk207974400"/>
      <w:bookmarkEnd w:id="1"/>
    </w:p>
    <w:p w14:paraId="7952E727" w14:textId="77777777" w:rsidR="00D125E1" w:rsidRPr="0001009D" w:rsidRDefault="00D125E1">
      <w:pPr>
        <w:spacing w:after="240"/>
        <w:jc w:val="center"/>
        <w:rPr>
          <w:b/>
          <w:bCs/>
          <w:color w:val="0F243E" w:themeColor="text2" w:themeShade="80"/>
        </w:rPr>
      </w:pPr>
    </w:p>
    <w:p w14:paraId="7C7AC23E" w14:textId="77777777" w:rsidR="00D125E1" w:rsidRPr="0001009D" w:rsidRDefault="00AB7CB1">
      <w:pPr>
        <w:spacing w:after="240"/>
        <w:jc w:val="center"/>
        <w:rPr>
          <w:b/>
          <w:bCs/>
          <w:color w:val="0F243E" w:themeColor="text2" w:themeShade="80"/>
        </w:rPr>
      </w:pPr>
      <w:r w:rsidRPr="0001009D">
        <w:rPr>
          <w:b/>
          <w:bCs/>
          <w:color w:val="0F243E" w:themeColor="text2" w:themeShade="80"/>
          <w:lang w:val="en-US"/>
        </w:rPr>
        <w:t>НАЦИОНАЛНА КОНЦЕПЦИЯ ЗА РЕГИОНАЛНО И ПРОСТРАНСТВЕНО РАЗВИТИЕ</w:t>
      </w:r>
    </w:p>
    <w:p w14:paraId="0C7AC720" w14:textId="77777777" w:rsidR="00D125E1" w:rsidRPr="0001009D" w:rsidRDefault="00AB7CB1">
      <w:pPr>
        <w:spacing w:after="240"/>
        <w:jc w:val="center"/>
        <w:rPr>
          <w:b/>
          <w:bCs/>
          <w:color w:val="0F243E" w:themeColor="text2" w:themeShade="80"/>
        </w:rPr>
      </w:pPr>
      <w:r w:rsidRPr="0001009D">
        <w:rPr>
          <w:b/>
          <w:bCs/>
          <w:color w:val="0F243E" w:themeColor="text2" w:themeShade="80"/>
        </w:rPr>
        <w:t>РЕЗЮМЕ</w:t>
      </w:r>
    </w:p>
    <w:p w14:paraId="5D35E12D" w14:textId="77777777" w:rsidR="00D125E1" w:rsidRPr="000101DB" w:rsidRDefault="00D125E1">
      <w:pPr>
        <w:rPr>
          <w:lang w:val="en-US"/>
        </w:rPr>
      </w:pPr>
    </w:p>
    <w:p w14:paraId="770C7148" w14:textId="17B3AF83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 xml:space="preserve">Националната концепция за регионално и пространствено развитие (НКРПР) 2026–2040  определя дългосрочната рамка за териториалното развитие на България и осигурява приемственост и надграждане спрямо Националната концепция за пространствено развитие 2013–2025. Тя се разработва в контекст на задълбочаващи се демографски предизвикателства, устойчиви регионални дисбаланси, ускорен зелен и цифров преход в Европейския съюз и необходимост от по-силна териториална координация на секторните политики. </w:t>
      </w:r>
    </w:p>
    <w:p w14:paraId="3362D39D" w14:textId="45D6A933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 xml:space="preserve">Уводната част на НКРПР подчертава, че България навлиза в новия програмен период със съчетание от унаследени проблеми и нови възможности. От една страна, </w:t>
      </w:r>
      <w:r w:rsidR="000101DB">
        <w:rPr>
          <w:rFonts w:eastAsia="Georgia"/>
        </w:rPr>
        <w:t xml:space="preserve">България </w:t>
      </w:r>
      <w:r w:rsidRPr="0001009D">
        <w:rPr>
          <w:rFonts w:eastAsia="Georgia"/>
        </w:rPr>
        <w:t xml:space="preserve"> продължава да се характеризира със значими териториални неравенства – между север и юг, между големи градски центрове и периферни и селски територии, между динамични икономически ядра и изоставащи райони, които трудно привличат инвестиции и кадри. От друга страна, подобренията в техническата и транспортната инфраструктура, интеграция</w:t>
      </w:r>
      <w:r w:rsidR="000101DB">
        <w:rPr>
          <w:rFonts w:eastAsia="Georgia"/>
        </w:rPr>
        <w:t>та</w:t>
      </w:r>
      <w:r w:rsidRPr="0001009D">
        <w:rPr>
          <w:rFonts w:eastAsia="Georgia"/>
        </w:rPr>
        <w:t xml:space="preserve"> в Европейския съюз, достъпът до европейско финансиране и общите приоритети за зелен и цифров преход създават прозорец на възможности за преосмисляне на модела на териториално развитие. </w:t>
      </w:r>
      <w:r w:rsidR="00144040">
        <w:rPr>
          <w:rFonts w:eastAsia="Georgia"/>
        </w:rPr>
        <w:t>В</w:t>
      </w:r>
      <w:r w:rsidRPr="0001009D">
        <w:rPr>
          <w:rFonts w:eastAsia="Georgia"/>
        </w:rPr>
        <w:t xml:space="preserve"> този контекст Концепцията се позиционира като документ, който трябва да ориентира както регионалната, така и секторните политики с териториално измерение – транспорт, енергетика, околна среда, икономика, образование, здравеопазване, култура и туризъм – към по-интегриран, ориентиран към м</w:t>
      </w:r>
      <w:r w:rsidR="00144040">
        <w:rPr>
          <w:rFonts w:eastAsia="Georgia"/>
        </w:rPr>
        <w:t>естния потенциал,</w:t>
      </w:r>
      <w:r w:rsidRPr="0001009D">
        <w:rPr>
          <w:rFonts w:eastAsia="Georgia"/>
        </w:rPr>
        <w:t xml:space="preserve"> подход.</w:t>
      </w:r>
    </w:p>
    <w:p w14:paraId="715CFCA2" w14:textId="5125E5EB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>Аналитичната част на НКРПР е обемна и структурирана около няколко основни измерения: демографско, социално-икономическо, инфраструктурно, екологично и пространствено. Демографският анализ очертава продължаващо намаляване на населението, системно застаряване и отрицателен естествен прираст, като тези процеси са особено концентрирани в Северозападна България, части от Северен централен и Североизточен район</w:t>
      </w:r>
      <w:r w:rsidR="00AF695B">
        <w:rPr>
          <w:rFonts w:eastAsia="Georgia"/>
        </w:rPr>
        <w:t xml:space="preserve"> (понастоящем)</w:t>
      </w:r>
      <w:r w:rsidRPr="0001009D">
        <w:rPr>
          <w:rFonts w:eastAsia="Georgia"/>
        </w:rPr>
        <w:t xml:space="preserve">, както и в планински и гранични територии. Отслабването на селищата и обезлюдяването в периферни и селски общини, съчетано с изселване на млади и икономически активни хора, поставя под риск устойчивостта на местните общности, </w:t>
      </w:r>
      <w:r w:rsidRPr="0001009D">
        <w:rPr>
          <w:rFonts w:eastAsia="Georgia"/>
        </w:rPr>
        <w:lastRenderedPageBreak/>
        <w:t>затруднява поддържането на услуги и инфраструктура и компрометира възможностите за дългосрочно развитие.</w:t>
      </w:r>
    </w:p>
    <w:p w14:paraId="1754C173" w14:textId="6A37BDCF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 xml:space="preserve">Социално-икономическата част на анализа показва изразена концентрация на икономическата активност, инвестициите, БВП, БВП на </w:t>
      </w:r>
      <w:r w:rsidR="000101DB">
        <w:rPr>
          <w:rFonts w:eastAsia="Georgia"/>
        </w:rPr>
        <w:t>глава от населението</w:t>
      </w:r>
      <w:r w:rsidRPr="0001009D">
        <w:rPr>
          <w:rFonts w:eastAsia="Georgia"/>
        </w:rPr>
        <w:t>, заетостта и иновациите в ограничен брой големи градски центрове и техните функционални ареали, при доминираща роля на София и няколко други водещи града. В регионите също се наблюдават значими различия между силни градски ядра и периферии с ниска икономическа активност. В редица отдалечени, планински и гранични територии се констатират по-високи нива на бедност, социално изключване и безработица, както и по-ограничен достъп до качествено образование, здравеопазване и социални услуги, което оформя „зони на уязвимост" с риск от трайна маргинализация и обезлюдяване.</w:t>
      </w:r>
    </w:p>
    <w:p w14:paraId="298E1027" w14:textId="50C2E2F3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 xml:space="preserve">Инфраструктурният и пространственият анализи показват, че макар през последното десетилетие да са реализирани значими проекти в пътната инфраструктура, все още съществуват критични „липсващи връзки" и територии с ниска достъпност. Основните елементи на мрежата TEN-T не осигуряват равномерна свързаност за всички региони, а състоянието на </w:t>
      </w:r>
      <w:r w:rsidR="00AF695B">
        <w:rPr>
          <w:rFonts w:eastAsia="Georgia"/>
        </w:rPr>
        <w:t>второкласната</w:t>
      </w:r>
      <w:r w:rsidRPr="0001009D">
        <w:rPr>
          <w:rFonts w:eastAsia="Georgia"/>
        </w:rPr>
        <w:t xml:space="preserve"> и третокласната пътна мрежа в много периферни и селски райони остава незадоволително. Железопътната инфраструктура изостава по отношение на скорост, безопасност, интермодалност и качество на услугата, което ограничава потенциала за устойчив транспорт и интеграция с европейските транспортни мрежи.</w:t>
      </w:r>
    </w:p>
    <w:p w14:paraId="4A0E648F" w14:textId="77777777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>По отношение на цифровата свързаност анализът показва съществен напредък при широколентовия достъп и мобилните мрежи, но и ясно изразено цифрово разделение между големи градове и периферни територии. Това влияе върху възможностите за дистанционна работа, електронно управление, онлайн образование, телемедицина и предоставяне на други модерни услуги в селски и отдалечени райони. Енергийната инфраструктура е изправена пред предизвикателствата на декарбонизацията, интегрирането на възобновяеми енергийни източници, повишаването на енергийната ефективност и гарантирането на сигурността на снабдяването, като тези процеси имат ясно териториално изражение.</w:t>
      </w:r>
    </w:p>
    <w:p w14:paraId="2534AB3A" w14:textId="6258102A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 xml:space="preserve">Екологичният анализ и оценката на климатичните рискове подчертават, че климатичните промени вече се проявяват на територията на страната чрез засушавания, наводнения, ерозионни процеси, свлачища и горски пожари, които оказват влияние върху земеползването, инфраструктурата, икономическата дейност и безопасността на </w:t>
      </w:r>
      <w:r w:rsidRPr="0001009D">
        <w:rPr>
          <w:rFonts w:eastAsia="Georgia"/>
        </w:rPr>
        <w:lastRenderedPageBreak/>
        <w:t xml:space="preserve">населението. Природното и ландшафтното богатство – защитени територии, зони по „Натура 2000", горски екосистеми, водни ресурси и биологично разнообразие – представлява ключов ресурс за дългосрочно развитие, който изисква внимателно управление и защита. Тази комбинация от рискове и ресурси налага </w:t>
      </w:r>
      <w:r w:rsidR="00B70A2C">
        <w:rPr>
          <w:rFonts w:eastAsia="Georgia"/>
        </w:rPr>
        <w:t xml:space="preserve">стратегическото планиране на регионалното и пространствено развитие </w:t>
      </w:r>
      <w:r w:rsidRPr="0001009D">
        <w:rPr>
          <w:rFonts w:eastAsia="Georgia"/>
        </w:rPr>
        <w:t>да интегрира много по-системно климатичните и екологичните съображения в стратегиите и инвестициите.</w:t>
      </w:r>
    </w:p>
    <w:p w14:paraId="70998B69" w14:textId="5F89563F" w:rsidR="00D125E1" w:rsidRPr="00144040" w:rsidRDefault="00AB7CB1" w:rsidP="0001009D">
      <w:pPr>
        <w:spacing w:after="210" w:line="360" w:lineRule="auto"/>
        <w:jc w:val="both"/>
        <w:rPr>
          <w:rFonts w:eastAsia="Georgia"/>
        </w:rPr>
      </w:pPr>
      <w:r w:rsidRPr="0001009D">
        <w:rPr>
          <w:rFonts w:eastAsia="Georgia"/>
        </w:rPr>
        <w:t xml:space="preserve">Върху описаната аналитична основа НКРПР формулира </w:t>
      </w:r>
      <w:r w:rsidR="00144040">
        <w:rPr>
          <w:rFonts w:eastAsia="Georgia"/>
        </w:rPr>
        <w:t>следната визия за регионално</w:t>
      </w:r>
      <w:r w:rsidR="00C21E65">
        <w:rPr>
          <w:rFonts w:eastAsia="Georgia"/>
        </w:rPr>
        <w:t xml:space="preserve"> и пространствено </w:t>
      </w:r>
      <w:r w:rsidR="00144040">
        <w:rPr>
          <w:rFonts w:eastAsia="Georgia"/>
        </w:rPr>
        <w:t xml:space="preserve">развитие </w:t>
      </w:r>
      <w:r w:rsidR="00C21E65">
        <w:rPr>
          <w:rFonts w:eastAsia="Georgia"/>
        </w:rPr>
        <w:t xml:space="preserve"> на</w:t>
      </w:r>
      <w:r w:rsidRPr="0001009D">
        <w:rPr>
          <w:rFonts w:eastAsia="Georgia"/>
        </w:rPr>
        <w:t xml:space="preserve"> България до 2040 г.</w:t>
      </w:r>
      <w:r w:rsidR="00144040">
        <w:rPr>
          <w:rFonts w:eastAsia="Georgia"/>
        </w:rPr>
        <w:t xml:space="preserve">: </w:t>
      </w:r>
      <w:r w:rsidR="00144040" w:rsidRPr="00144040">
        <w:rPr>
          <w:rFonts w:eastAsia="Georgia"/>
          <w:b/>
        </w:rPr>
        <w:t>„Българските региони развиват устойчив капацитет и конкурентоспособност в динамична среда, с подобрен жизнен стандарт и достъп до качествени услуги за всички граждани. Столичният регион се утвърждава като водещ център в Югоизточна Европа, а останалите региони се доближават до европейските стандарти. Националните ресурси са опазени чрез устойчиво управление, съхранена е регионалната идентичност, а социално-икономическите и териториални дисбаланси са значително намалени.“</w:t>
      </w:r>
      <w:r w:rsidR="00144040">
        <w:rPr>
          <w:rFonts w:eastAsia="Georgia"/>
        </w:rPr>
        <w:t xml:space="preserve"> Тази в</w:t>
      </w:r>
      <w:r w:rsidRPr="0001009D">
        <w:rPr>
          <w:rFonts w:eastAsia="Georgia"/>
        </w:rPr>
        <w:t>изия</w:t>
      </w:r>
      <w:r w:rsidR="00144040">
        <w:rPr>
          <w:rFonts w:eastAsia="Georgia"/>
        </w:rPr>
        <w:t xml:space="preserve"> за развитие</w:t>
      </w:r>
      <w:r w:rsidRPr="0001009D">
        <w:rPr>
          <w:rFonts w:eastAsia="Georgia"/>
        </w:rPr>
        <w:t xml:space="preserve"> поставя акцент върху качеството на живот във всички части на страната, възможности</w:t>
      </w:r>
      <w:r w:rsidR="00D72194">
        <w:rPr>
          <w:rFonts w:eastAsia="Georgia"/>
        </w:rPr>
        <w:t>те</w:t>
      </w:r>
      <w:r w:rsidRPr="0001009D">
        <w:rPr>
          <w:rFonts w:eastAsia="Georgia"/>
        </w:rPr>
        <w:t xml:space="preserve"> за достъп до услуги и инфраструктура, устойчивото използване на природния капитал и опазването на културното наследство.</w:t>
      </w:r>
    </w:p>
    <w:p w14:paraId="4D8635F4" w14:textId="6899A555" w:rsidR="00D125E1" w:rsidRPr="000101DB" w:rsidRDefault="00144040" w:rsidP="0001009D">
      <w:pPr>
        <w:spacing w:after="210" w:line="360" w:lineRule="auto"/>
        <w:jc w:val="both"/>
      </w:pPr>
      <w:r>
        <w:rPr>
          <w:rFonts w:eastAsia="Georgia"/>
        </w:rPr>
        <w:t xml:space="preserve">Усилията в посока на </w:t>
      </w:r>
      <w:r w:rsidR="00AB7CB1" w:rsidRPr="0001009D">
        <w:rPr>
          <w:rFonts w:eastAsia="Georgia"/>
        </w:rPr>
        <w:t xml:space="preserve">намаляване на териториалните дисбаланси и укрепване на устойчивата конкурентоспособност на страната </w:t>
      </w:r>
      <w:r w:rsidR="0001009D">
        <w:rPr>
          <w:rFonts w:eastAsia="Georgia"/>
        </w:rPr>
        <w:t>са в основата на</w:t>
      </w:r>
      <w:r w:rsidR="00AB7CB1" w:rsidRPr="0001009D">
        <w:rPr>
          <w:rFonts w:eastAsia="Georgia"/>
        </w:rPr>
        <w:t xml:space="preserve"> полицентричен модел,</w:t>
      </w:r>
      <w:r w:rsidR="0001009D">
        <w:rPr>
          <w:rFonts w:eastAsia="Georgia"/>
        </w:rPr>
        <w:t xml:space="preserve"> който предполага</w:t>
      </w:r>
      <w:r w:rsidR="00AB7CB1" w:rsidRPr="0001009D">
        <w:rPr>
          <w:rFonts w:eastAsia="Georgia"/>
        </w:rPr>
        <w:t xml:space="preserve"> подобрена свързаност, зелена и цифрова трансформация и интегриран териториален подход. </w:t>
      </w:r>
    </w:p>
    <w:p w14:paraId="30D0A064" w14:textId="3BAC1331" w:rsidR="00D125E1" w:rsidRPr="0001009D" w:rsidRDefault="00AB7CB1" w:rsidP="0001009D">
      <w:pPr>
        <w:spacing w:after="210" w:line="360" w:lineRule="auto"/>
        <w:jc w:val="both"/>
        <w:rPr>
          <w:rFonts w:eastAsia="Georgia"/>
        </w:rPr>
      </w:pPr>
      <w:r w:rsidRPr="0001009D">
        <w:rPr>
          <w:rFonts w:eastAsia="Georgia"/>
        </w:rPr>
        <w:t xml:space="preserve">Стратегическата част на НКРПР е изградена около ясно формулирани </w:t>
      </w:r>
      <w:r w:rsidR="009B5B68">
        <w:rPr>
          <w:rFonts w:eastAsia="Georgia"/>
        </w:rPr>
        <w:t xml:space="preserve">четири </w:t>
      </w:r>
      <w:r w:rsidRPr="0001009D">
        <w:rPr>
          <w:rFonts w:eastAsia="Georgia"/>
        </w:rPr>
        <w:t>стратегически цели</w:t>
      </w:r>
      <w:r w:rsidR="009B5B68">
        <w:rPr>
          <w:rFonts w:eastAsia="Georgia"/>
        </w:rPr>
        <w:t>, както следва:</w:t>
      </w:r>
      <w:r w:rsidR="009B5B68" w:rsidRPr="009B5B68">
        <w:rPr>
          <w:b/>
        </w:rPr>
        <w:t xml:space="preserve"> </w:t>
      </w:r>
      <w:r w:rsidR="009B5B68" w:rsidRPr="00144040">
        <w:rPr>
          <w:rFonts w:eastAsia="Georgia"/>
          <w:b/>
        </w:rPr>
        <w:t>Териториално сближаване</w:t>
      </w:r>
      <w:r w:rsidR="009B5B68" w:rsidRPr="0001009D">
        <w:rPr>
          <w:rFonts w:eastAsia="Georgia"/>
        </w:rPr>
        <w:t xml:space="preserve">, </w:t>
      </w:r>
      <w:r w:rsidR="009B5B68" w:rsidRPr="00144040">
        <w:rPr>
          <w:rFonts w:eastAsia="Georgia"/>
          <w:b/>
        </w:rPr>
        <w:t>Икономическо сближаване,</w:t>
      </w:r>
      <w:r w:rsidR="009B5B68" w:rsidRPr="00144040">
        <w:rPr>
          <w:b/>
        </w:rPr>
        <w:t xml:space="preserve"> </w:t>
      </w:r>
      <w:r w:rsidR="009B5B68" w:rsidRPr="00144040">
        <w:rPr>
          <w:rFonts w:eastAsia="Georgia"/>
          <w:b/>
        </w:rPr>
        <w:t>Социално сближаване и растеж и</w:t>
      </w:r>
      <w:r w:rsidR="009B5B68" w:rsidRPr="00144040">
        <w:rPr>
          <w:b/>
        </w:rPr>
        <w:t xml:space="preserve"> </w:t>
      </w:r>
      <w:r w:rsidR="009B5B68" w:rsidRPr="00144040">
        <w:rPr>
          <w:rFonts w:eastAsia="Georgia"/>
          <w:b/>
        </w:rPr>
        <w:t>Екологична устойчивост.</w:t>
      </w:r>
      <w:r w:rsidR="009B5B68">
        <w:rPr>
          <w:rFonts w:eastAsia="Georgia"/>
        </w:rPr>
        <w:t xml:space="preserve"> Към всяка стратегическа цел са дефинирани определен брой приоритети. Важно е да се отбележи, че</w:t>
      </w:r>
      <w:r w:rsidRPr="0001009D">
        <w:rPr>
          <w:rFonts w:eastAsia="Georgia"/>
        </w:rPr>
        <w:t xml:space="preserve"> структурата е оптимизирана спрямо предходната Национална концепция за пространствено развитие 2013–2025 с цел по-голяма яснота и </w:t>
      </w:r>
      <w:r w:rsidR="00144040">
        <w:rPr>
          <w:rFonts w:eastAsia="Georgia"/>
        </w:rPr>
        <w:t>прилагане на политиката за регионално развитие</w:t>
      </w:r>
      <w:r w:rsidRPr="0001009D">
        <w:rPr>
          <w:rFonts w:eastAsia="Georgia"/>
        </w:rPr>
        <w:t>. В рамките на тази по-концентрирана рамка е включена и нова цел</w:t>
      </w:r>
      <w:r w:rsidR="009B5B68" w:rsidRPr="009B5B68">
        <w:rPr>
          <w:rFonts w:eastAsia="Georgia"/>
        </w:rPr>
        <w:t xml:space="preserve"> </w:t>
      </w:r>
      <w:r w:rsidR="009B5B68">
        <w:rPr>
          <w:rFonts w:eastAsia="Georgia"/>
        </w:rPr>
        <w:t>„</w:t>
      </w:r>
      <w:r w:rsidR="009B5B68" w:rsidRPr="009B5B68">
        <w:rPr>
          <w:rFonts w:eastAsia="Georgia"/>
        </w:rPr>
        <w:t>Екологична устойчивост</w:t>
      </w:r>
      <w:r w:rsidR="009B5B68">
        <w:rPr>
          <w:rFonts w:eastAsia="Georgia"/>
        </w:rPr>
        <w:t>“</w:t>
      </w:r>
      <w:r w:rsidRPr="0001009D">
        <w:rPr>
          <w:rFonts w:eastAsia="Georgia"/>
        </w:rPr>
        <w:t>, отразяваща ускорения зелен и цифров преход и необходимостта тези процеси да получат ясно териториално измерение. Така стратегическата част едновременно осигурява приемственост и интегрира новите приоритети на европейско и национално равнище.</w:t>
      </w:r>
    </w:p>
    <w:p w14:paraId="4EA5F27F" w14:textId="3E622449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lastRenderedPageBreak/>
        <w:t xml:space="preserve">В пространствено отношение НКРПР залага </w:t>
      </w:r>
      <w:r w:rsidR="000101DB">
        <w:rPr>
          <w:rFonts w:eastAsia="Georgia"/>
        </w:rPr>
        <w:t xml:space="preserve">модел на </w:t>
      </w:r>
      <w:r w:rsidRPr="0001009D">
        <w:rPr>
          <w:rFonts w:eastAsia="Georgia"/>
        </w:rPr>
        <w:t>умерен</w:t>
      </w:r>
      <w:r w:rsidR="000101DB">
        <w:rPr>
          <w:rFonts w:eastAsia="Georgia"/>
        </w:rPr>
        <w:t>о</w:t>
      </w:r>
      <w:r w:rsidRPr="0001009D">
        <w:rPr>
          <w:rFonts w:eastAsia="Georgia"/>
        </w:rPr>
        <w:t xml:space="preserve"> полицентричн</w:t>
      </w:r>
      <w:r w:rsidR="000101DB">
        <w:rPr>
          <w:rFonts w:eastAsia="Georgia"/>
        </w:rPr>
        <w:t>о</w:t>
      </w:r>
      <w:r w:rsidRPr="0001009D">
        <w:rPr>
          <w:rFonts w:eastAsia="Georgia"/>
        </w:rPr>
        <w:t xml:space="preserve"> развитие, при който София, големите градове и някои средни градове формират мрежа от центрове, взаимосвързани чрез добре развити транспортни, икономически и функционални връзки. Успоредно се разглеждат и „функционалните градски ареали" – територии, обединяващи централния град и заобикалящите го общини, между които има интензивни ежедневни трудови, образователни и обслужващи потоци. Това позволява по-реалистично планиране на услуги, инфраструктура и инвестиции, съобразено с реалните „територии на ежедневен живот" на хората.</w:t>
      </w:r>
    </w:p>
    <w:p w14:paraId="6265249F" w14:textId="682E0771" w:rsidR="0001009D" w:rsidRDefault="00C95EC0" w:rsidP="0001009D">
      <w:pPr>
        <w:spacing w:after="210" w:line="360" w:lineRule="auto"/>
        <w:jc w:val="both"/>
        <w:rPr>
          <w:rFonts w:ascii="Segoe UI" w:hAnsi="Segoe UI" w:cs="Segoe UI"/>
        </w:rPr>
      </w:pPr>
      <w:r w:rsidRPr="0001009D">
        <w:t xml:space="preserve">В рамките на полицентричния модел </w:t>
      </w:r>
      <w:r w:rsidR="00106A6C">
        <w:t>НКРПР</w:t>
      </w:r>
      <w:r w:rsidRPr="0001009D">
        <w:t xml:space="preserve"> различава центрове от различни нива според тяхната значимост, функции и роля в територията и селищната мрежа на страната. Функционално-йерархичната структура на мрежата от населени места включва пет нива, които отразяват ролята и значението на отделните центрове в националната селищна система. </w:t>
      </w:r>
      <w:r w:rsidRPr="00144040">
        <w:rPr>
          <w:b/>
        </w:rPr>
        <w:t>На първо ниво</w:t>
      </w:r>
      <w:r w:rsidRPr="0001009D">
        <w:t xml:space="preserve"> е столицата София като основен национален и международен център. </w:t>
      </w:r>
      <w:r w:rsidRPr="00144040">
        <w:rPr>
          <w:b/>
        </w:rPr>
        <w:t>На второ ниво</w:t>
      </w:r>
      <w:r w:rsidRPr="0001009D">
        <w:t xml:space="preserve"> са позиционирани центрове от национално значение, които концентрират значителен демографски и икономически потенциал, изпълняват водещи функции в системата на урбанистичните центрове и осигуряват ключови икономически, логистични, образователни, здравни и културни услуги за широк</w:t>
      </w:r>
      <w:r w:rsidR="003F245D">
        <w:rPr>
          <w:lang w:val="en-US"/>
        </w:rPr>
        <w:t xml:space="preserve"> </w:t>
      </w:r>
      <w:r w:rsidR="003F245D">
        <w:t>обхват от</w:t>
      </w:r>
      <w:r w:rsidRPr="0001009D">
        <w:t xml:space="preserve"> територии. В рамките на умерения полицентрич</w:t>
      </w:r>
      <w:r w:rsidR="0001009D" w:rsidRPr="0001009D">
        <w:t>е</w:t>
      </w:r>
      <w:r w:rsidRPr="0001009D">
        <w:t xml:space="preserve">н модел, тези градове са 6 на брой (Варна, Пловдив, Бургас, Русе, Стара Загора и Плевен). </w:t>
      </w:r>
      <w:r w:rsidRPr="00144040">
        <w:rPr>
          <w:b/>
        </w:rPr>
        <w:t>Третото ниво</w:t>
      </w:r>
      <w:r w:rsidRPr="0001009D">
        <w:t xml:space="preserve"> обхваща регионални и междинни центрове, които свързват мрежата от големи градове с периферните и селски райони, поддържат по-фина мрежа от услуги и работни места и изпълняват опорни функции за околните общини и по-малки населени места. </w:t>
      </w:r>
      <w:r w:rsidR="0001009D" w:rsidRPr="0001009D">
        <w:t xml:space="preserve">Това са </w:t>
      </w:r>
      <w:r w:rsidR="0001009D" w:rsidRPr="0001009D">
        <w:rPr>
          <w:lang w:eastAsia="bg-BG"/>
        </w:rPr>
        <w:t>20 областни центрове (Видин, Монтана, Враца, Ловеч, Габрово, В. Търново, Търговище, Разград, Шумен, Силистра, Добрич, Сливен, Ямбол, Хасково, Кърджали, Смолян, Пазарджик, Перник, Кюстендил и Благоевград</w:t>
      </w:r>
      <w:r w:rsidR="0001009D" w:rsidRPr="0001009D">
        <w:t>)</w:t>
      </w:r>
      <w:r w:rsidR="003F245D">
        <w:t xml:space="preserve">, </w:t>
      </w:r>
      <w:r w:rsidR="003F245D" w:rsidRPr="00CC5FBD">
        <w:t>и още</w:t>
      </w:r>
      <w:r w:rsidR="00CC5FBD">
        <w:t xml:space="preserve"> 10</w:t>
      </w:r>
      <w:r w:rsidR="004852ED">
        <w:rPr>
          <w:lang w:val="en-US"/>
        </w:rPr>
        <w:t xml:space="preserve"> </w:t>
      </w:r>
      <w:r w:rsidR="0001009D" w:rsidRPr="00CC5FBD">
        <w:t>на брой</w:t>
      </w:r>
      <w:r w:rsidR="003F245D" w:rsidRPr="00CC5FBD">
        <w:t xml:space="preserve"> града</w:t>
      </w:r>
      <w:r w:rsidR="0001009D" w:rsidRPr="00CC5FBD">
        <w:t xml:space="preserve"> </w:t>
      </w:r>
      <w:r w:rsidR="003F245D" w:rsidRPr="00CC5FBD">
        <w:t xml:space="preserve">с изявени ключови позиции в селищната мрежа </w:t>
      </w:r>
      <w:r w:rsidR="0001009D" w:rsidRPr="00CC5FBD">
        <w:t>(</w:t>
      </w:r>
      <w:r w:rsidR="0001009D" w:rsidRPr="00CC5FBD">
        <w:rPr>
          <w:lang w:eastAsia="bg-BG"/>
        </w:rPr>
        <w:t>Казанлък, Свищов, Горна Оряховица, Димитровград, Асеновград, Карлово, Дупница, Сандански, Петрич и Велинград).</w:t>
      </w:r>
      <w:r w:rsidR="0001009D" w:rsidRPr="0001009D">
        <w:rPr>
          <w:lang w:eastAsia="bg-BG"/>
        </w:rPr>
        <w:t xml:space="preserve"> В групата от центрове от ниво 3 и 4 има градове с потенциал да преминат на по-горно йерархично стъпало, но икономически дисбаланси и влошено демографско състояние спират този процес. </w:t>
      </w:r>
      <w:r w:rsidRPr="00144040">
        <w:rPr>
          <w:b/>
        </w:rPr>
        <w:t>Четвърто и пето ниво</w:t>
      </w:r>
      <w:r w:rsidRPr="0001009D">
        <w:t xml:space="preserve"> включват местни центрове и малки населени места, които осигуряват базови услуги, поддържат жизнеността на селските и периферните територии и са ключови за териториалната кохезия и равния достъп до услуги.</w:t>
      </w:r>
      <w:r>
        <w:rPr>
          <w:rFonts w:ascii="Segoe UI" w:hAnsi="Segoe UI" w:cs="Segoe UI"/>
        </w:rPr>
        <w:t xml:space="preserve"> </w:t>
      </w:r>
    </w:p>
    <w:p w14:paraId="027B4EFF" w14:textId="51C8572B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lastRenderedPageBreak/>
        <w:t>НКРПР разработва детайлна типизация на територи</w:t>
      </w:r>
      <w:r w:rsidR="000562AC">
        <w:rPr>
          <w:rFonts w:eastAsia="Georgia"/>
        </w:rPr>
        <w:t>и</w:t>
      </w:r>
      <w:r w:rsidRPr="0001009D">
        <w:rPr>
          <w:rFonts w:eastAsia="Georgia"/>
        </w:rPr>
        <w:t>те, която включва силно урбанизирани (градски), средно урбанизирани и селски територии, планински, крайбрежни, гранични и други специфични зони. Тази типизация служи за насочване на интервенциите според специфичните предизвикателства и потенциал на отделните категории територии. Селските територии с висока природна стойност и потенциал за устойчив туризъм и биологично земеделие се разглеждат различно от деиндустриализирани територии с висока безработица или от силно урбанизирани зони с екологичен натиск и инфраструктурни дефицити. Чрез този диференциран, ориентиран към мястото подход</w:t>
      </w:r>
      <w:r w:rsidR="00DB37A8">
        <w:rPr>
          <w:rFonts w:eastAsia="Georgia"/>
          <w:lang w:val="en-US"/>
        </w:rPr>
        <w:t xml:space="preserve"> </w:t>
      </w:r>
      <w:r w:rsidR="00DB37A8">
        <w:rPr>
          <w:rFonts w:eastAsia="Georgia"/>
        </w:rPr>
        <w:t>(</w:t>
      </w:r>
      <w:r w:rsidR="00DB37A8">
        <w:rPr>
          <w:rFonts w:eastAsia="Georgia"/>
          <w:lang w:val="en-US"/>
        </w:rPr>
        <w:t>place-based approach)</w:t>
      </w:r>
      <w:r w:rsidRPr="0001009D">
        <w:rPr>
          <w:rFonts w:eastAsia="Georgia"/>
        </w:rPr>
        <w:t xml:space="preserve"> Концепцията цели да излезе от логиката на универсални решения, еднакви за цялата територия.</w:t>
      </w:r>
    </w:p>
    <w:p w14:paraId="4F924881" w14:textId="77777777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>Градското развитие се разглежда като важна ос на Концепцията, тъй като градовете концентрират икономическата динамика, иновациите, образованието и културата, но и социални, екологични и инфраструктурни проблеми. НКРПР подкрепя интегрирани подходи за обновяване на жилищните квартали, модернизация на обществените пространства, развитие на устойчив градски транспорт и повишаване на енергийната ефективност на сградния фонд. Особено внимание се отделя на адаптацията на градовете към климатичните промени: развитие на зелена и синя инфраструктура, управление на риска от наводнения и горещи вълни, повишаване на устойчивостта на критичната инфраструктура и създаване на по-достъпна градска среда в условията на застаряващо население.</w:t>
      </w:r>
    </w:p>
    <w:p w14:paraId="39F45BBA" w14:textId="77777777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>Селските, планинските и граничните територии са определени като приоритетни за териториално сближаване и устойчиво развитие. Концепцията ги разглежда като носители на ключови ресурси – земеделие и продоволствена сигурност, гори, вода, биоразнообразие, възможности за устойчив туризъм и възобновяеми енергийни източници – чиято рационална употреба е от национално значение. За тези територии се предвиждат комплексни мерки: подобряване на транспортната и цифровата свързаност, гарантиране на достъп до основни услуги, стимулиране на местното предприемачество и късите вериги на доставка, подкрепа за местни инициативи и интегрирани териториални инвестиции. Важна роля се отрежда на местните центрове, които да консолидират услуги и функции и да служат като опорни ядра в по-слабо урбанизираните и обезлюдяващи се територии.</w:t>
      </w:r>
    </w:p>
    <w:p w14:paraId="6E6FB766" w14:textId="27D23AF1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 xml:space="preserve">Инфраструктурата и свързаността се разглеждат като ключови лостове за преодоляване на териториалните различия и за повишаване на конкурентоспособността. НКРПР поставя като приоритет завършването и модернизацията на транспортните коридори от TEN-T, </w:t>
      </w:r>
      <w:r w:rsidRPr="0001009D">
        <w:rPr>
          <w:rFonts w:eastAsia="Georgia"/>
        </w:rPr>
        <w:lastRenderedPageBreak/>
        <w:t>подобряване на железопътната инфраструктура и основните пътни артерии, изграждането на интермодални връзки, логистични центрове и по-добри връзки между регионални и местни центрове. Концепцията подчертава, че освен главните пътища е важно да се подобри и състоянието на второстепенната републиканска пътна мрежа, която осигурява реалната ежедневна достъпност на населението до услуги, пазари, образователни и здравни институции. В цифровата сфера целта е да се преодолее цифровото разделение чрез разширяване на мрежите с висока и много висока пропускателна способност и създаване на условия за цифрови услуги в периферни райони, което да позволи ефективно използване на електронно управление, дистанционно обучение и телемедицина.</w:t>
      </w:r>
    </w:p>
    <w:p w14:paraId="4EDBB32C" w14:textId="472C0498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 xml:space="preserve">Зелената трансформация и климатичната устойчивост са заложени като хоризонтални приоритети с ясно териториално измерение. НКРПР разглежда и оценката на климатичните рискове и мерки за адаптация на всички нива – от националното стратегическо планиране до местните устройствени планове. </w:t>
      </w:r>
      <w:r w:rsidR="00597636">
        <w:rPr>
          <w:rFonts w:eastAsia="Georgia"/>
        </w:rPr>
        <w:t>Обръща се внимание на необходимостта  от</w:t>
      </w:r>
      <w:r w:rsidRPr="0001009D">
        <w:rPr>
          <w:rFonts w:eastAsia="Georgia"/>
        </w:rPr>
        <w:t xml:space="preserve"> решения за управление на риска от наводнения, свлачища, засушавания и горски пожари, за опазване и възстановяване на екосистеми, за развитие на зелени и сини инфраструктури в градски и селски територии и за насърчаване на нисковъглеродни форми на транспорт и застрояване. </w:t>
      </w:r>
      <w:r w:rsidR="00597636">
        <w:rPr>
          <w:rFonts w:eastAsia="Georgia"/>
        </w:rPr>
        <w:t>По този нач</w:t>
      </w:r>
      <w:r w:rsidR="007B003D">
        <w:rPr>
          <w:rFonts w:eastAsia="Georgia"/>
        </w:rPr>
        <w:t>и</w:t>
      </w:r>
      <w:r w:rsidR="00597636">
        <w:rPr>
          <w:rFonts w:eastAsia="Georgia"/>
        </w:rPr>
        <w:t>н</w:t>
      </w:r>
      <w:r w:rsidRPr="0001009D">
        <w:rPr>
          <w:rFonts w:eastAsia="Georgia"/>
        </w:rPr>
        <w:t xml:space="preserve"> Концепцията се превръща във важен инструмент за изпълнение на климатичните ангажименти на България и ЕС до 2030 и 2050 г.</w:t>
      </w:r>
    </w:p>
    <w:p w14:paraId="5D758735" w14:textId="77777777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>Социалното измерение на Концепцията поставя в центъра човешкия капитал, социалното сближаване и достъпа до услуги. НКРПР обръща внимание на пространственото разпределение на бедността, социалното изключване и уязвимите групи и подчертава, че териториалните политики трябва да допринасят за намаляване на неравенствата и за повишаване на качеството на живот във всички типове територии. Особен фокус се поставя върху младежите и необходимостта да се намали делът на младите хора, които не са в заетост, образование или обучение, чрез подобрен достъп до качествено образование, професионално обучение, културни и спортни дейности, както и върху ролята на висшето образование и научната инфраструктура за регионална специализация и задържане на таланти.</w:t>
      </w:r>
    </w:p>
    <w:p w14:paraId="00D0EF7F" w14:textId="4C41855A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 xml:space="preserve">В икономически план НКРПР се съгласува с рамката за интелигентна специализация и европейските политики за конкурентоспособност и иновации. Концепцията насърчава развитието на регионални икономически профили, базирани на силните страни и потенциала на отделните райони – индустриални производства, логистика, информационни </w:t>
      </w:r>
      <w:r w:rsidRPr="0001009D">
        <w:rPr>
          <w:rFonts w:eastAsia="Georgia"/>
        </w:rPr>
        <w:lastRenderedPageBreak/>
        <w:t>и комуникационни технологии, туризъм, аграрно производство, креативни индустрии и др. Малките и средните предприятия се разглеждат като гръбнак на икономиката, а цифровизацията – като ключов инструмент за повишаване на тяхната производителност, достъп до пазари и интеграция във веригите на доставки.</w:t>
      </w:r>
    </w:p>
    <w:p w14:paraId="6A809C8C" w14:textId="02B73A60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>Управленската и институционалната рамка на Концепцията се основава на принципите на многостепенно управление, партньорство и координация</w:t>
      </w:r>
      <w:r w:rsidR="00597636">
        <w:rPr>
          <w:rFonts w:eastAsia="Georgia"/>
        </w:rPr>
        <w:t>.</w:t>
      </w:r>
      <w:r w:rsidRPr="0001009D">
        <w:rPr>
          <w:rFonts w:eastAsia="Georgia"/>
        </w:rPr>
        <w:t xml:space="preserve"> Подчертава се необходимостта от по-тясна координация между секторните политики и </w:t>
      </w:r>
      <w:r w:rsidR="00714E40">
        <w:rPr>
          <w:rFonts w:eastAsia="Georgia"/>
        </w:rPr>
        <w:t xml:space="preserve">стратегическото планиране на </w:t>
      </w:r>
      <w:r w:rsidRPr="0001009D">
        <w:rPr>
          <w:rFonts w:eastAsia="Georgia"/>
        </w:rPr>
        <w:t xml:space="preserve">регионалното и </w:t>
      </w:r>
      <w:r w:rsidR="00032F36">
        <w:rPr>
          <w:rFonts w:eastAsia="Georgia"/>
        </w:rPr>
        <w:t>пространствено развитие</w:t>
      </w:r>
      <w:r w:rsidRPr="0001009D">
        <w:rPr>
          <w:rFonts w:eastAsia="Georgia"/>
        </w:rPr>
        <w:t xml:space="preserve">, както и от интегриране на </w:t>
      </w:r>
      <w:r w:rsidR="00597636">
        <w:rPr>
          <w:rFonts w:eastAsia="Georgia"/>
        </w:rPr>
        <w:t xml:space="preserve">целите </w:t>
      </w:r>
      <w:r w:rsidRPr="0001009D">
        <w:rPr>
          <w:rFonts w:eastAsia="Georgia"/>
        </w:rPr>
        <w:t xml:space="preserve">и приоритетите на Концепцията в </w:t>
      </w:r>
      <w:r w:rsidR="00032F36">
        <w:rPr>
          <w:rFonts w:eastAsia="Georgia"/>
        </w:rPr>
        <w:t>интегрираните териториални стратегии за развитие и плановете за интегрирано развитие на общините.</w:t>
      </w:r>
      <w:r w:rsidRPr="0001009D">
        <w:rPr>
          <w:rFonts w:eastAsia="Georgia"/>
        </w:rPr>
        <w:t xml:space="preserve"> </w:t>
      </w:r>
    </w:p>
    <w:p w14:paraId="0ED1D213" w14:textId="3BB77DA7" w:rsidR="00032F36" w:rsidRPr="00032F36" w:rsidRDefault="00032F36" w:rsidP="00032F36">
      <w:pPr>
        <w:spacing w:after="210" w:line="360" w:lineRule="auto"/>
        <w:jc w:val="both"/>
        <w:rPr>
          <w:rFonts w:eastAsia="Georgia"/>
        </w:rPr>
      </w:pPr>
      <w:r w:rsidRPr="00032F36">
        <w:rPr>
          <w:rFonts w:eastAsia="Georgia"/>
        </w:rPr>
        <w:t>Източници на необходимите финансови ресурси за постигане на стратегическите цели поставени пред политиката за регионално развитие могат да бъдат държавният бюджет, бюджетите на общините, средства на физически и юридически лица средства от фондовете на Европейския съюз, включително финансови инструменти</w:t>
      </w:r>
      <w:r w:rsidR="00DB37A8">
        <w:rPr>
          <w:rFonts w:eastAsia="Georgia"/>
        </w:rPr>
        <w:t xml:space="preserve"> и</w:t>
      </w:r>
      <w:r w:rsidRPr="00032F36">
        <w:rPr>
          <w:rFonts w:eastAsia="Georgia"/>
        </w:rPr>
        <w:t xml:space="preserve"> международни финансови институции. Конкретните необходими финансови ресурси ще бъдат </w:t>
      </w:r>
      <w:r w:rsidR="00DB37A8">
        <w:rPr>
          <w:rFonts w:eastAsia="Georgia"/>
        </w:rPr>
        <w:t>описани</w:t>
      </w:r>
      <w:r w:rsidR="00DB37A8" w:rsidRPr="00032F36">
        <w:rPr>
          <w:rFonts w:eastAsia="Georgia"/>
        </w:rPr>
        <w:t xml:space="preserve"> </w:t>
      </w:r>
      <w:r w:rsidRPr="00032F36">
        <w:rPr>
          <w:rFonts w:eastAsia="Georgia"/>
        </w:rPr>
        <w:t>в документите  за регионално и пространствено развитие на регионално и общинско ниво.</w:t>
      </w:r>
    </w:p>
    <w:p w14:paraId="630296A7" w14:textId="4761E650" w:rsidR="00D125E1" w:rsidRDefault="00AB7CB1" w:rsidP="0001009D">
      <w:pPr>
        <w:spacing w:after="210" w:line="360" w:lineRule="auto"/>
        <w:jc w:val="both"/>
        <w:rPr>
          <w:rFonts w:eastAsia="Georgia"/>
        </w:rPr>
      </w:pPr>
      <w:r w:rsidRPr="0001009D">
        <w:rPr>
          <w:rFonts w:eastAsia="Georgia"/>
        </w:rPr>
        <w:t>В документа е разработена система от индикатори за мониторинг – демографски, социално-икономически, инфраструктурни, екологични и пространствени – която позволява проследяване на напредъка към целите до 2030 и 2040 г. и своевременни корекции и актуализации.</w:t>
      </w:r>
    </w:p>
    <w:p w14:paraId="11CD52FF" w14:textId="7EB10F30" w:rsidR="00D42095" w:rsidRPr="000101DB" w:rsidRDefault="00D42095" w:rsidP="0001009D">
      <w:pPr>
        <w:spacing w:after="210" w:line="360" w:lineRule="auto"/>
        <w:jc w:val="both"/>
      </w:pPr>
      <w:r w:rsidRPr="00D42095">
        <w:rPr>
          <w:rFonts w:eastAsia="Georgia"/>
        </w:rPr>
        <w:t>Отчитането на изпълнението на НКРПР се осъществява като процес, който надгражда наблюдението на индикаторите и осигурява проследимост на предприетите действия, постигнатите резултати и извлечените поуки. Процесът на отчитане се реализира от една страна чрез извършването на регулярните оценки</w:t>
      </w:r>
      <w:r>
        <w:rPr>
          <w:rFonts w:eastAsia="Georgia"/>
        </w:rPr>
        <w:t>, съгласно Закона за регионалното развитие</w:t>
      </w:r>
      <w:r>
        <w:rPr>
          <w:rFonts w:eastAsia="Georgia"/>
          <w:lang w:val="en-US"/>
        </w:rPr>
        <w:t xml:space="preserve"> (</w:t>
      </w:r>
      <w:r>
        <w:rPr>
          <w:rFonts w:eastAsia="Georgia"/>
        </w:rPr>
        <w:t>ЗРР</w:t>
      </w:r>
      <w:r>
        <w:rPr>
          <w:rFonts w:eastAsia="Georgia"/>
          <w:lang w:val="en-US"/>
        </w:rPr>
        <w:t>)</w:t>
      </w:r>
      <w:r w:rsidRPr="00D42095">
        <w:rPr>
          <w:rFonts w:eastAsia="Georgia"/>
        </w:rPr>
        <w:t xml:space="preserve"> и от друга чрез изпълнението на документите за регионално развитие на регионално и общинско ниво, което е нормативно обосновано в ЗРР. Осигурява  се съпоставимост и проследимост на изпълнението на целите и приоритетите на НКРПР чрез степента на реализацията на мерките в документите на регионално и общинско ниво.</w:t>
      </w:r>
    </w:p>
    <w:p w14:paraId="755A6A45" w14:textId="17477270" w:rsidR="00D125E1" w:rsidRPr="000101DB" w:rsidRDefault="00032F36" w:rsidP="0001009D">
      <w:pPr>
        <w:spacing w:after="210" w:line="360" w:lineRule="auto"/>
        <w:jc w:val="both"/>
      </w:pPr>
      <w:r w:rsidRPr="00032F36">
        <w:rPr>
          <w:rFonts w:eastAsia="Georgia"/>
        </w:rPr>
        <w:t xml:space="preserve">В рамките на Националната концепцията за </w:t>
      </w:r>
      <w:r w:rsidR="00E52EDB">
        <w:rPr>
          <w:rFonts w:eastAsia="Georgia"/>
        </w:rPr>
        <w:t xml:space="preserve">регионално и </w:t>
      </w:r>
      <w:bookmarkStart w:id="2" w:name="_GoBack"/>
      <w:bookmarkEnd w:id="2"/>
      <w:r w:rsidRPr="00032F36">
        <w:rPr>
          <w:rFonts w:eastAsia="Georgia"/>
        </w:rPr>
        <w:t xml:space="preserve">пространствено развитие до 2040 г., основен приоритет е провеждането на целенасочени политики за ограничаване на регионалните дисбаланси и за постигане на по-балансирано териториално развитие. </w:t>
      </w:r>
      <w:r w:rsidR="00672E16">
        <w:rPr>
          <w:rFonts w:eastAsia="Georgia"/>
        </w:rPr>
        <w:t xml:space="preserve">Отчита </w:t>
      </w:r>
      <w:r w:rsidR="00672E16">
        <w:rPr>
          <w:rFonts w:eastAsia="Georgia"/>
        </w:rPr>
        <w:lastRenderedPageBreak/>
        <w:t>се</w:t>
      </w:r>
      <w:r w:rsidRPr="00032F36">
        <w:rPr>
          <w:rFonts w:eastAsia="Georgia"/>
        </w:rPr>
        <w:t xml:space="preserve"> процес</w:t>
      </w:r>
      <w:r>
        <w:rPr>
          <w:rFonts w:eastAsia="Georgia"/>
        </w:rPr>
        <w:t>а</w:t>
      </w:r>
      <w:r w:rsidRPr="00032F36">
        <w:rPr>
          <w:rFonts w:eastAsia="Georgia"/>
        </w:rPr>
        <w:t xml:space="preserve"> на реализация </w:t>
      </w:r>
      <w:r>
        <w:rPr>
          <w:rFonts w:eastAsia="Georgia"/>
        </w:rPr>
        <w:t xml:space="preserve">на </w:t>
      </w:r>
      <w:r w:rsidRPr="00032F36">
        <w:rPr>
          <w:rFonts w:eastAsia="Georgia"/>
        </w:rPr>
        <w:t>промяна</w:t>
      </w:r>
      <w:r>
        <w:rPr>
          <w:rFonts w:eastAsia="Georgia"/>
        </w:rPr>
        <w:t>та</w:t>
      </w:r>
      <w:r w:rsidRPr="00032F36">
        <w:rPr>
          <w:rFonts w:eastAsia="Georgia"/>
        </w:rPr>
        <w:t xml:space="preserve"> в обхвата на регионите за планиране на ниво 2, ко</w:t>
      </w:r>
      <w:r w:rsidR="00672E16">
        <w:rPr>
          <w:rFonts w:eastAsia="Georgia"/>
        </w:rPr>
        <w:t>й</w:t>
      </w:r>
      <w:r w:rsidRPr="00032F36">
        <w:rPr>
          <w:rFonts w:eastAsia="Georgia"/>
        </w:rPr>
        <w:t xml:space="preserve">то се очаква да </w:t>
      </w:r>
      <w:r w:rsidR="00672E16">
        <w:rPr>
          <w:rFonts w:eastAsia="Georgia"/>
        </w:rPr>
        <w:t>завърши в началото на 2027 г.</w:t>
      </w:r>
      <w:r w:rsidR="00AB7CB1" w:rsidRPr="0001009D">
        <w:rPr>
          <w:rFonts w:eastAsia="Georgia"/>
        </w:rPr>
        <w:t>, така че предложените териториални модели, приоритети и индикатори да бъдат съвместими с новата конфигурация на р</w:t>
      </w:r>
      <w:r w:rsidR="00672E16">
        <w:rPr>
          <w:rFonts w:eastAsia="Georgia"/>
        </w:rPr>
        <w:t xml:space="preserve">егионите за планиране от ниво 2 </w:t>
      </w:r>
      <w:r w:rsidR="00AB7CB1" w:rsidRPr="0001009D">
        <w:rPr>
          <w:rFonts w:eastAsia="Georgia"/>
        </w:rPr>
        <w:t xml:space="preserve"> и да осигуряват стабилна основа за бъдещите регионални </w:t>
      </w:r>
      <w:r>
        <w:rPr>
          <w:rFonts w:eastAsia="Georgia"/>
        </w:rPr>
        <w:t>стратегии</w:t>
      </w:r>
      <w:r w:rsidR="00AB7CB1" w:rsidRPr="0001009D">
        <w:rPr>
          <w:rFonts w:eastAsia="Georgia"/>
        </w:rPr>
        <w:t xml:space="preserve"> и програми.</w:t>
      </w:r>
    </w:p>
    <w:p w14:paraId="28ABBE99" w14:textId="0696587C" w:rsidR="00D125E1" w:rsidRPr="000101DB" w:rsidRDefault="00AB7CB1" w:rsidP="0001009D">
      <w:pPr>
        <w:spacing w:after="210" w:line="360" w:lineRule="auto"/>
        <w:jc w:val="both"/>
      </w:pPr>
      <w:r w:rsidRPr="0001009D">
        <w:rPr>
          <w:rFonts w:eastAsia="Georgia"/>
        </w:rPr>
        <w:t xml:space="preserve">В заключение Националната концепция за регионално и пространствено развитие 2026–2040 представлява комплексен, дългосрочен и интегриран стратегически документ, който задава модел на териториално развитие на България и служи като основа за координация на секторните политики с регионалната и местната перспектива. Тя стъпва върху задълбочен аналитичен преглед на дисбалансите и предизвикателствата и формулира визия и система от цели, насочени към полицентрично развитие, подобрена свързаност, зелена и цифрова трансформация, социално сближаване и интелигентна специализация на икономиката. Концепцията създава рамка за по-ефективно използване на публичните ресурси и за по-съгласувано планиране и инвестиране. Нейното приемане и последователно прилагане са </w:t>
      </w:r>
      <w:r w:rsidR="00597636">
        <w:rPr>
          <w:rFonts w:eastAsia="Georgia"/>
        </w:rPr>
        <w:t xml:space="preserve">от основно значение </w:t>
      </w:r>
      <w:r w:rsidRPr="0001009D">
        <w:rPr>
          <w:rFonts w:eastAsia="Georgia"/>
        </w:rPr>
        <w:t xml:space="preserve">за намаляване на регионалните различия, повишаване на конкурентоспособността и устойчивостта на страната и за позиционирането на България като по-свързана, балансирана и интегрирана държава </w:t>
      </w:r>
      <w:r w:rsidR="00047BE2">
        <w:rPr>
          <w:rFonts w:eastAsia="Georgia"/>
        </w:rPr>
        <w:t>в Европейския съюз.</w:t>
      </w:r>
    </w:p>
    <w:p w14:paraId="5FBBABDA" w14:textId="77777777" w:rsidR="00D125E1" w:rsidRPr="000101DB" w:rsidRDefault="00D125E1" w:rsidP="0001009D">
      <w:pPr>
        <w:spacing w:line="360" w:lineRule="auto"/>
        <w:jc w:val="both"/>
        <w:rPr>
          <w:lang w:val="en-US"/>
        </w:rPr>
      </w:pPr>
    </w:p>
    <w:sectPr w:rsidR="00D125E1" w:rsidRPr="000101DB">
      <w:headerReference w:type="default" r:id="rId16"/>
      <w:footerReference w:type="default" r:id="rId17"/>
      <w:pgSz w:w="11906" w:h="16838"/>
      <w:pgMar w:top="1315" w:right="1134" w:bottom="1418" w:left="1418" w:header="90" w:footer="0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3A64A" w14:textId="77777777" w:rsidR="006731D6" w:rsidRDefault="006731D6">
      <w:pPr>
        <w:spacing w:after="0"/>
      </w:pPr>
      <w:r>
        <w:separator/>
      </w:r>
    </w:p>
  </w:endnote>
  <w:endnote w:type="continuationSeparator" w:id="0">
    <w:p w14:paraId="723B9EF5" w14:textId="77777777" w:rsidR="006731D6" w:rsidRDefault="006731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§­§°§®§Ö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 Cond"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A4949" w14:textId="77777777" w:rsidR="00D125E1" w:rsidRDefault="00D125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E40A6" w14:textId="77777777" w:rsidR="00D125E1" w:rsidRDefault="00AB7CB1">
    <w:pPr>
      <w:jc w:val="center"/>
      <w:rPr>
        <w:i/>
        <w:color w:val="244061" w:themeColor="accent1" w:themeShade="80"/>
        <w:sz w:val="14"/>
        <w:szCs w:val="14"/>
        <w:lang w:eastAsia="bg-BG"/>
      </w:rPr>
    </w:pPr>
    <w:r>
      <w:rPr>
        <w:b/>
        <w:bCs/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05A85A" wp14:editId="68182DFB">
              <wp:simplePos x="0" y="0"/>
              <wp:positionH relativeFrom="page">
                <wp:posOffset>6175375</wp:posOffset>
              </wp:positionH>
              <wp:positionV relativeFrom="page">
                <wp:posOffset>10172700</wp:posOffset>
              </wp:positionV>
              <wp:extent cx="1139190" cy="236855"/>
              <wp:effectExtent l="0" t="0" r="0" b="0"/>
              <wp:wrapNone/>
              <wp:docPr id="1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3919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01A9C5" w14:textId="77777777" w:rsidR="00D125E1" w:rsidRDefault="00AB7CB1">
                          <w:pPr>
                            <w:pStyle w:val="Footer"/>
                            <w:jc w:val="right"/>
                            <w:rPr>
                              <w:color w:val="1F4E79"/>
                            </w:rPr>
                          </w:pPr>
                          <w:r>
                            <w:rPr>
                              <w:color w:val="1F4E79"/>
                            </w:rPr>
                            <w:fldChar w:fldCharType="begin"/>
                          </w:r>
                          <w:r>
                            <w:rPr>
                              <w:color w:val="1F4E79"/>
                            </w:rPr>
                            <w:instrText xml:space="preserve"> PAGE  \* ROMAN  \* MERGEFORMAT </w:instrText>
                          </w:r>
                          <w:r>
                            <w:rPr>
                              <w:color w:val="1F4E79"/>
                            </w:rPr>
                            <w:fldChar w:fldCharType="separate"/>
                          </w:r>
                          <w:r>
                            <w:rPr>
                              <w:color w:val="1F4E79"/>
                            </w:rPr>
                            <w:t>XII</w:t>
                          </w:r>
                          <w:r>
                            <w:rPr>
                              <w:color w:val="1F4E7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5A85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style="position:absolute;left:0;text-align:left;margin-left:486.25pt;margin-top:801pt;width:89.7pt;height:18.6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" filled="f" stroked="f">
              <v:textbox>
                <w:txbxContent>
                  <w:p w14:paraId="6401A9C5" w14:textId="77777777" w:rsidR="00D125E1" w:rsidRDefault="00AB7CB1">
                    <w:pPr>
                      <w:pStyle w:val="Footer"/>
                      <w:jc w:val="right"/>
                      <w:rPr>
                        <w:color w:val="1F4E79"/>
                      </w:rPr>
                    </w:pPr>
                    <w:r>
                      <w:rPr>
                        <w:color w:val="1F4E79"/>
                      </w:rPr>
                      <w:fldChar w:fldCharType="begin"/>
                    </w:r>
                    <w:r>
                      <w:rPr>
                        <w:color w:val="1F4E79"/>
                      </w:rPr>
                      <w:instrText xml:space="preserve"> PAGE  \* ROMAN  \* MERGEFORMAT </w:instrText>
                    </w:r>
                    <w:r>
                      <w:rPr>
                        <w:color w:val="1F4E79"/>
                      </w:rPr>
                      <w:fldChar w:fldCharType="separate"/>
                    </w:r>
                    <w:r>
                      <w:rPr>
                        <w:color w:val="1F4E79"/>
                      </w:rPr>
                      <w:t>XII</w:t>
                    </w:r>
                    <w:r>
                      <w:rPr>
                        <w:color w:val="1F4E7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/>
        <w:bCs/>
        <w:noProof/>
        <w:lang w:val="en-US"/>
      </w:rPr>
      <mc:AlternateContent>
        <mc:Choice Requires="wps">
          <w:drawing>
            <wp:anchor distT="91440" distB="91440" distL="114300" distR="114300" simplePos="0" relativeHeight="251661312" behindDoc="1" locked="0" layoutInCell="1" allowOverlap="1" wp14:anchorId="02A8D340" wp14:editId="21BCE24B">
              <wp:simplePos x="0" y="0"/>
              <wp:positionH relativeFrom="margin">
                <wp:posOffset>51435</wp:posOffset>
              </wp:positionH>
              <wp:positionV relativeFrom="page">
                <wp:posOffset>9711690</wp:posOffset>
              </wp:positionV>
              <wp:extent cx="5939790" cy="25400"/>
              <wp:effectExtent l="0" t="0" r="3810" b="0"/>
              <wp:wrapSquare wrapText="bothSides"/>
              <wp:docPr id="2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939790" cy="2540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id="Rectangle 9" o:spid="_x0000_s1026" o:spt="1" style="position:absolute;left:0pt;margin-left:4.05pt;margin-top:764.7pt;height:2pt;width:467.7pt;mso-position-horizontal-relative:margin;mso-position-vertical-relative:page;mso-wrap-distance-bottom:7.2pt;mso-wrap-distance-left:9pt;mso-wrap-distance-right:9pt;mso-wrap-distance-top:7.2pt;z-index:-251655168;v-text-anchor:middle;mso-width-relative:page;mso-height-relative:page;" fillcolor="#FFC000" filled="t" stroked="f" coordsize="21600,21600" o:gfxdata="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aBBDvcAAAACwEAAA8AAAAAAAAAAQAgAAAAIgAAAGRycy9kb3ducmV2&#10;LnhtbFBLAQIUABQAAAAIAIdO4kByWIiF+AEAAPoDAAAOAAAAAAAAAAEAIAAAACsBAABkcnMvZTJv&#10;RG9jLnhtbFBLBQYAAAAABgAGAFkBAACVBQAAAAA=&#10;">
              <v:fill on="t" focussize="0,0"/>
              <v:stroke on="f"/>
              <v:imagedata o:title=""/>
              <o:lock v:ext="edit" aspectratio="f"/>
              <w10:wrap type="square"/>
            </v:rect>
          </w:pict>
        </mc:Fallback>
      </mc:AlternateContent>
    </w:r>
    <w:r>
      <w:rPr>
        <w:i/>
        <w:color w:val="244061" w:themeColor="accent1" w:themeShade="80"/>
        <w:sz w:val="14"/>
        <w:szCs w:val="14"/>
        <w:lang w:eastAsia="bg-BG"/>
      </w:rPr>
      <w:t>Този документ е създаден в рамките на изпълнение на Договор за предоставяне на безвъзмездна финансова помощ № BG16FFPR003-5.001-0005 - Бюджетна линия на отдел „Стратегическо планиране и програмиране“, Приоритет 5 Техническа помощ по чл.36“ на ПРР 2021-2027 г., съфинансирана от Европейския съюз чрез Европейския фонд за регионално развитие и Фонда за справедлив преход</w:t>
    </w:r>
  </w:p>
  <w:p w14:paraId="7982CCBC" w14:textId="77777777" w:rsidR="00D125E1" w:rsidRDefault="006731D6">
    <w:pPr>
      <w:pBdr>
        <w:top w:val="single" w:sz="4" w:space="1" w:color="auto"/>
        <w:bottom w:val="single" w:sz="4" w:space="1" w:color="auto"/>
      </w:pBdr>
      <w:tabs>
        <w:tab w:val="center" w:pos="4536"/>
        <w:tab w:val="right" w:pos="9354"/>
      </w:tabs>
      <w:spacing w:after="240"/>
      <w:jc w:val="both"/>
      <w:rPr>
        <w:rStyle w:val="Hyperlink"/>
        <w:sz w:val="18"/>
        <w:szCs w:val="18"/>
        <w:lang w:eastAsia="bg-BG"/>
      </w:rPr>
    </w:pPr>
    <w:hyperlink r:id="rId1" w:history="1">
      <w:r w:rsidR="00AB7CB1">
        <w:rPr>
          <w:rStyle w:val="Hyperlink"/>
          <w:sz w:val="18"/>
          <w:szCs w:val="18"/>
          <w:lang w:eastAsia="bg-BG"/>
        </w:rPr>
        <w:t>www.eufunds.</w:t>
      </w:r>
      <w:r w:rsidR="00AB7CB1">
        <w:rPr>
          <w:rStyle w:val="Hyperlink"/>
          <w:i/>
          <w:sz w:val="18"/>
          <w:szCs w:val="18"/>
          <w:lang w:eastAsia="bg-BG"/>
        </w:rPr>
        <w:t>bg</w:t>
      </w:r>
    </w:hyperlink>
    <w:r w:rsidR="00AB7CB1">
      <w:rPr>
        <w:i/>
        <w:color w:val="244061" w:themeColor="accent1" w:themeShade="80"/>
        <w:sz w:val="18"/>
        <w:szCs w:val="18"/>
        <w:lang w:eastAsia="bg-BG"/>
      </w:rPr>
      <w:tab/>
    </w:r>
    <w:r w:rsidR="00AB7CB1">
      <w:rPr>
        <w:i/>
        <w:color w:val="244061" w:themeColor="accent1" w:themeShade="80"/>
        <w:sz w:val="18"/>
        <w:szCs w:val="18"/>
        <w:lang w:eastAsia="bg-BG"/>
      </w:rPr>
      <w:tab/>
    </w:r>
    <w:hyperlink r:id="rId2" w:history="1">
      <w:r w:rsidR="00AB7CB1">
        <w:rPr>
          <w:rStyle w:val="Hyperlink"/>
          <w:sz w:val="18"/>
          <w:szCs w:val="18"/>
          <w:lang w:eastAsia="bg-BG"/>
        </w:rPr>
        <w:t>www.bgregio.eu</w:t>
      </w:r>
    </w:hyperlink>
  </w:p>
  <w:p w14:paraId="29F53D7D" w14:textId="77777777" w:rsidR="00D125E1" w:rsidRDefault="00D125E1">
    <w:pPr>
      <w:tabs>
        <w:tab w:val="center" w:pos="4536"/>
        <w:tab w:val="right" w:pos="9072"/>
      </w:tabs>
      <w:rPr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453F5" w14:textId="77777777" w:rsidR="00D125E1" w:rsidRDefault="00AB7CB1">
    <w:pPr>
      <w:tabs>
        <w:tab w:val="center" w:pos="4536"/>
        <w:tab w:val="right" w:pos="9072"/>
      </w:tabs>
      <w:ind w:firstLine="709"/>
      <w:jc w:val="center"/>
      <w:rPr>
        <w:rFonts w:eastAsia="Calibri"/>
        <w:sz w:val="20"/>
        <w:szCs w:val="20"/>
      </w:rPr>
    </w:pPr>
    <w:r>
      <w:rPr>
        <w:rFonts w:eastAsia="Calibri"/>
        <w:sz w:val="20"/>
        <w:szCs w:val="20"/>
      </w:rPr>
      <w:t>Този документ е създаден в рамките на изпълнение на Договор за предоставяне на безвъзмездна финансова помощ № BG16FFPR003-5.001-0005-C01 по ПРР 2021-2027 г.</w:t>
    </w:r>
  </w:p>
  <w:p w14:paraId="0AF5A843" w14:textId="77777777" w:rsidR="00D125E1" w:rsidRDefault="00D125E1">
    <w:pPr>
      <w:pStyle w:val="Footer"/>
      <w:ind w:firstLine="0"/>
      <w:rPr>
        <w:sz w:val="20"/>
        <w:szCs w:val="20"/>
      </w:rPr>
    </w:pPr>
  </w:p>
  <w:p w14:paraId="0D44C60B" w14:textId="77777777" w:rsidR="00D125E1" w:rsidRDefault="00D125E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36B82" w14:textId="77777777" w:rsidR="00D125E1" w:rsidRDefault="00AB7CB1">
    <w:pPr>
      <w:jc w:val="center"/>
      <w:rPr>
        <w:i/>
        <w:color w:val="244061" w:themeColor="accent1" w:themeShade="80"/>
        <w:sz w:val="14"/>
        <w:szCs w:val="14"/>
        <w:lang w:eastAsia="bg-BG"/>
      </w:rPr>
    </w:pPr>
    <w:r>
      <w:rPr>
        <w:b/>
        <w:bCs/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295745D" wp14:editId="6A9DFB2F">
              <wp:simplePos x="0" y="0"/>
              <wp:positionH relativeFrom="page">
                <wp:posOffset>6527800</wp:posOffset>
              </wp:positionH>
              <wp:positionV relativeFrom="page">
                <wp:posOffset>10313035</wp:posOffset>
              </wp:positionV>
              <wp:extent cx="1139190" cy="308610"/>
              <wp:effectExtent l="0" t="0" r="0" b="0"/>
              <wp:wrapNone/>
              <wp:docPr id="670076937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39190" cy="308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3432D9" w14:textId="2D4DCFF9" w:rsidR="00D125E1" w:rsidRDefault="00AB7CB1">
                          <w:pPr>
                            <w:pStyle w:val="Footer"/>
                            <w:ind w:firstLine="0"/>
                            <w:jc w:val="center"/>
                            <w:rPr>
                              <w:color w:val="1F4E79"/>
                            </w:rPr>
                          </w:pPr>
                          <w:r>
                            <w:rPr>
                              <w:color w:val="1F4E79"/>
                            </w:rPr>
                            <w:fldChar w:fldCharType="begin"/>
                          </w:r>
                          <w:r>
                            <w:rPr>
                              <w:color w:val="1F4E79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1F4E79"/>
                            </w:rPr>
                            <w:fldChar w:fldCharType="separate"/>
                          </w:r>
                          <w:r w:rsidR="00E52EDB">
                            <w:rPr>
                              <w:noProof/>
                              <w:color w:val="1F4E79"/>
                            </w:rPr>
                            <w:t>8</w:t>
                          </w:r>
                          <w:r>
                            <w:rPr>
                              <w:color w:val="1F4E7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95745D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514pt;margin-top:812.05pt;width:89.7pt;height:24.3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" filled="f" stroked="f">
              <v:textbox>
                <w:txbxContent>
                  <w:p w14:paraId="1D3432D9" w14:textId="2D4DCFF9" w:rsidR="00D125E1" w:rsidRDefault="00AB7CB1">
                    <w:pPr>
                      <w:pStyle w:val="Footer"/>
                      <w:ind w:firstLine="0"/>
                      <w:jc w:val="center"/>
                      <w:rPr>
                        <w:color w:val="1F4E79"/>
                      </w:rPr>
                    </w:pPr>
                    <w:r>
                      <w:rPr>
                        <w:color w:val="1F4E79"/>
                      </w:rPr>
                      <w:fldChar w:fldCharType="begin"/>
                    </w:r>
                    <w:r>
                      <w:rPr>
                        <w:color w:val="1F4E79"/>
                      </w:rPr>
                      <w:instrText xml:space="preserve"> PAGE  \* Arabic  \* MERGEFORMAT </w:instrText>
                    </w:r>
                    <w:r>
                      <w:rPr>
                        <w:color w:val="1F4E79"/>
                      </w:rPr>
                      <w:fldChar w:fldCharType="separate"/>
                    </w:r>
                    <w:r w:rsidR="00E52EDB">
                      <w:rPr>
                        <w:noProof/>
                        <w:color w:val="1F4E79"/>
                      </w:rPr>
                      <w:t>8</w:t>
                    </w:r>
                    <w:r>
                      <w:rPr>
                        <w:color w:val="1F4E7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/>
        <w:bCs/>
        <w:noProof/>
        <w:lang w:val="en-US"/>
      </w:rPr>
      <mc:AlternateContent>
        <mc:Choice Requires="wps">
          <w:drawing>
            <wp:anchor distT="91440" distB="91440" distL="114300" distR="114300" simplePos="0" relativeHeight="251672576" behindDoc="1" locked="0" layoutInCell="1" allowOverlap="1" wp14:anchorId="49BA2D63" wp14:editId="066C1DB6">
              <wp:simplePos x="0" y="0"/>
              <wp:positionH relativeFrom="margin">
                <wp:posOffset>0</wp:posOffset>
              </wp:positionH>
              <wp:positionV relativeFrom="page">
                <wp:posOffset>9864090</wp:posOffset>
              </wp:positionV>
              <wp:extent cx="5939790" cy="25400"/>
              <wp:effectExtent l="0" t="0" r="0" b="0"/>
              <wp:wrapSquare wrapText="bothSides"/>
              <wp:docPr id="2012086662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939790" cy="2540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id="Rectangle 9" o:spid="_x0000_s1026" o:spt="1" style="position:absolute;left:0pt;margin-left:0pt;margin-top:776.7pt;height:2pt;width:467.7pt;mso-position-horizontal-relative:margin;mso-position-vertical-relative:page;mso-wrap-distance-bottom:7.2pt;mso-wrap-distance-left:9pt;mso-wrap-distance-right:9pt;mso-wrap-distance-top:7.2pt;z-index:-251643904;v-text-anchor:middle;mso-width-relative:page;mso-height-relative:page;" fillcolor="#FFC000" filled="t" stroked="f" coordsize="21600,21600" o:gfxdata="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XgYp32wAAAAoBAAAPAAAAAAAAAAEAIAAAACIAAABkcnMv&#10;ZG93bnJldi54bWxQSwECFAAUAAAACACHTuJAutUQjgACAAADBAAADgAAAAAAAAABACAAAAAqAQAA&#10;ZHJzL2Uyb0RvYy54bWxQSwUGAAAAAAYABgBZAQAAnAUAAAAA&#10;">
              <v:fill on="t" focussize="0,0"/>
              <v:stroke on="f"/>
              <v:imagedata o:title=""/>
              <o:lock v:ext="edit" aspectratio="f"/>
              <w10:wrap type="square"/>
            </v:rect>
          </w:pict>
        </mc:Fallback>
      </mc:AlternateContent>
    </w:r>
    <w:r>
      <w:rPr>
        <w:i/>
        <w:color w:val="244061" w:themeColor="accent1" w:themeShade="80"/>
        <w:sz w:val="14"/>
        <w:szCs w:val="14"/>
        <w:lang w:eastAsia="bg-BG"/>
      </w:rPr>
      <w:t>Този документ е създаден в рамките на изпълнение на Договор за предоставяне на безвъзмездна финансова помощ № BG16FFPR003-5.001-0005 - Бюджетна линия на отдел „Стратегическо планиране и програмиране“, Приоритет 5 Техническа помощ по чл.36“ на ПРР 2021-2027 г., съфинансирана от Европейския съюз чрез Европейския фонд за регионално развитие и Фонда за справедлив преход</w:t>
    </w:r>
  </w:p>
  <w:p w14:paraId="05903C16" w14:textId="77777777" w:rsidR="00D125E1" w:rsidRDefault="006731D6">
    <w:pPr>
      <w:pBdr>
        <w:top w:val="single" w:sz="4" w:space="1" w:color="auto"/>
        <w:bottom w:val="single" w:sz="4" w:space="1" w:color="auto"/>
      </w:pBdr>
      <w:tabs>
        <w:tab w:val="center" w:pos="4536"/>
        <w:tab w:val="right" w:pos="9354"/>
      </w:tabs>
      <w:spacing w:after="240"/>
      <w:jc w:val="both"/>
      <w:rPr>
        <w:rStyle w:val="Hyperlink"/>
        <w:sz w:val="18"/>
        <w:szCs w:val="18"/>
        <w:lang w:eastAsia="bg-BG"/>
      </w:rPr>
    </w:pPr>
    <w:hyperlink r:id="rId1" w:history="1">
      <w:r w:rsidR="00AB7CB1">
        <w:rPr>
          <w:rStyle w:val="Hyperlink"/>
          <w:sz w:val="18"/>
          <w:szCs w:val="18"/>
          <w:lang w:eastAsia="bg-BG"/>
        </w:rPr>
        <w:t>www.eufunds.</w:t>
      </w:r>
      <w:r w:rsidR="00AB7CB1">
        <w:rPr>
          <w:rStyle w:val="Hyperlink"/>
          <w:i/>
          <w:sz w:val="18"/>
          <w:szCs w:val="18"/>
          <w:lang w:eastAsia="bg-BG"/>
        </w:rPr>
        <w:t>bg</w:t>
      </w:r>
    </w:hyperlink>
    <w:r w:rsidR="00AB7CB1">
      <w:rPr>
        <w:i/>
        <w:color w:val="244061" w:themeColor="accent1" w:themeShade="80"/>
        <w:sz w:val="18"/>
        <w:szCs w:val="18"/>
        <w:lang w:eastAsia="bg-BG"/>
      </w:rPr>
      <w:tab/>
    </w:r>
    <w:r w:rsidR="00AB7CB1">
      <w:rPr>
        <w:i/>
        <w:color w:val="244061" w:themeColor="accent1" w:themeShade="80"/>
        <w:sz w:val="18"/>
        <w:szCs w:val="18"/>
        <w:lang w:eastAsia="bg-BG"/>
      </w:rPr>
      <w:tab/>
    </w:r>
    <w:hyperlink r:id="rId2" w:history="1">
      <w:r w:rsidR="00AB7CB1">
        <w:rPr>
          <w:rStyle w:val="Hyperlink"/>
          <w:sz w:val="18"/>
          <w:szCs w:val="18"/>
          <w:lang w:eastAsia="bg-BG"/>
        </w:rPr>
        <w:t>www.bgregio.eu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CBDF3" w14:textId="77777777" w:rsidR="006731D6" w:rsidRDefault="006731D6">
      <w:pPr>
        <w:spacing w:after="0"/>
      </w:pPr>
      <w:r>
        <w:separator/>
      </w:r>
    </w:p>
  </w:footnote>
  <w:footnote w:type="continuationSeparator" w:id="0">
    <w:p w14:paraId="0FD6ADF8" w14:textId="77777777" w:rsidR="006731D6" w:rsidRDefault="006731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2CC0A" w14:textId="77777777" w:rsidR="00D125E1" w:rsidRDefault="00D125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8F83F" w14:textId="77777777" w:rsidR="00D125E1" w:rsidRDefault="00AB7CB1">
    <w:pPr>
      <w:pStyle w:val="Header"/>
      <w:tabs>
        <w:tab w:val="right" w:pos="7938"/>
      </w:tabs>
      <w:spacing w:before="360"/>
      <w:ind w:left="850" w:right="1109" w:hanging="40"/>
      <w:jc w:val="center"/>
      <w:rPr>
        <w:color w:val="0F243E" w:themeColor="text2" w:themeShade="80"/>
      </w:rPr>
    </w:pPr>
    <w:r>
      <w:rPr>
        <w:b/>
        <w:bCs/>
        <w:noProof/>
        <w:color w:val="0F243E" w:themeColor="text2" w:themeShade="80"/>
        <w:lang w:val="en-US"/>
      </w:rPr>
      <mc:AlternateContent>
        <mc:Choice Requires="wps">
          <w:drawing>
            <wp:anchor distT="91440" distB="91440" distL="114300" distR="114300" simplePos="0" relativeHeight="251668480" behindDoc="1" locked="0" layoutInCell="1" allowOverlap="1" wp14:anchorId="4E1633D2" wp14:editId="44CEE950">
              <wp:simplePos x="0" y="0"/>
              <wp:positionH relativeFrom="margin">
                <wp:posOffset>-3810</wp:posOffset>
              </wp:positionH>
              <wp:positionV relativeFrom="page">
                <wp:posOffset>871220</wp:posOffset>
              </wp:positionV>
              <wp:extent cx="5939790" cy="25400"/>
              <wp:effectExtent l="0" t="0" r="0" b="0"/>
              <wp:wrapSquare wrapText="bothSides"/>
              <wp:docPr id="663507213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939790" cy="2540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id="Rectangle 9" o:spid="_x0000_s1026" o:spt="1" style="position:absolute;left:0pt;margin-left:-0.3pt;margin-top:68.6pt;height:2pt;width:467.7pt;mso-position-horizontal-relative:margin;mso-position-vertical-relative:page;mso-wrap-distance-bottom:7.2pt;mso-wrap-distance-left:9pt;mso-wrap-distance-right:9pt;mso-wrap-distance-top:7.2pt;z-index:-251648000;v-text-anchor:middle;mso-width-relative:page;mso-height-relative:page;" fillcolor="#FFC000" filled="t" stroked="f" coordsize="21600,21600" o:gfxdata="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yHzADbAAAACQEAAA8AAAAAAAAAAQAgAAAAIgAAAGRycy9k&#10;b3ducmV2LnhtbFBLAQIUABQAAAAIAIdO4kB0IOmq/wEAAAIEAAAOAAAAAAAAAAEAIAAAACoBAABk&#10;cnMvZTJvRG9jLnhtbFBLBQYAAAAABgAGAFkBAACbBQAAAAA=&#10;">
              <v:fill on="t" focussize="0,0"/>
              <v:stroke on="f"/>
              <v:imagedata o:title=""/>
              <o:lock v:ext="edit" aspectratio="f"/>
              <w10:wrap type="square"/>
            </v:rect>
          </w:pict>
        </mc:Fallback>
      </mc:AlternateContent>
    </w:r>
    <w:r>
      <w:rPr>
        <w:i/>
        <w:noProof/>
        <w:color w:val="0F243E" w:themeColor="text2" w:themeShade="80"/>
        <w:sz w:val="18"/>
        <w:szCs w:val="18"/>
        <w:lang w:val="en-US"/>
      </w:rPr>
      <w:drawing>
        <wp:anchor distT="0" distB="0" distL="114300" distR="114300" simplePos="0" relativeHeight="251670528" behindDoc="0" locked="0" layoutInCell="1" allowOverlap="1" wp14:anchorId="50D97CBA" wp14:editId="4292BD2B">
          <wp:simplePos x="0" y="0"/>
          <wp:positionH relativeFrom="column">
            <wp:posOffset>5001895</wp:posOffset>
          </wp:positionH>
          <wp:positionV relativeFrom="paragraph">
            <wp:posOffset>25400</wp:posOffset>
          </wp:positionV>
          <wp:extent cx="901700" cy="624205"/>
          <wp:effectExtent l="0" t="0" r="0" b="5080"/>
          <wp:wrapThrough wrapText="bothSides">
            <wp:wrapPolygon edited="0">
              <wp:start x="0" y="0"/>
              <wp:lineTo x="0" y="21116"/>
              <wp:lineTo x="21006" y="21116"/>
              <wp:lineTo x="21006" y="0"/>
              <wp:lineTo x="0" y="0"/>
            </wp:wrapPolygon>
          </wp:wrapThrough>
          <wp:docPr id="1636841089" name="Picture 16368410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841089" name="Picture 163684108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1630" cy="624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i/>
        <w:noProof/>
        <w:color w:val="0F243E" w:themeColor="text2" w:themeShade="80"/>
        <w:sz w:val="18"/>
        <w:szCs w:val="18"/>
        <w:lang w:val="en-US"/>
      </w:rPr>
      <w:drawing>
        <wp:anchor distT="0" distB="0" distL="114300" distR="114300" simplePos="0" relativeHeight="251669504" behindDoc="0" locked="0" layoutInCell="1" allowOverlap="1" wp14:anchorId="126FED0C" wp14:editId="6AE59157">
          <wp:simplePos x="0" y="0"/>
          <wp:positionH relativeFrom="column">
            <wp:posOffset>-3810</wp:posOffset>
          </wp:positionH>
          <wp:positionV relativeFrom="paragraph">
            <wp:posOffset>-52070</wp:posOffset>
          </wp:positionV>
          <wp:extent cx="811530" cy="748030"/>
          <wp:effectExtent l="0" t="0" r="7620" b="0"/>
          <wp:wrapThrough wrapText="bothSides">
            <wp:wrapPolygon edited="0">
              <wp:start x="0" y="0"/>
              <wp:lineTo x="0" y="20921"/>
              <wp:lineTo x="21296" y="20921"/>
              <wp:lineTo x="21296" y="0"/>
              <wp:lineTo x="0" y="0"/>
            </wp:wrapPolygon>
          </wp:wrapThrough>
          <wp:docPr id="2123553232" name="Picture 21235532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3553232" name="Picture 212355323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1530" cy="747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0F243E" w:themeColor="text2" w:themeShade="80"/>
        <w:sz w:val="20"/>
        <w:szCs w:val="20"/>
      </w:rPr>
      <w:t>НАЦИОНАЛНА КОНЦЕПЦИЯ ЗА РЕГИОНАЛНО И ПРОСТРАНСТВЕНО РАЗВИТИЕ</w:t>
    </w:r>
    <w:r>
      <w:rPr>
        <w:b/>
        <w:bCs/>
        <w:color w:val="0F243E" w:themeColor="text2" w:themeShade="8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22B73" w14:textId="77777777" w:rsidR="00D125E1" w:rsidRDefault="00D125E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168A4" w14:textId="77777777" w:rsidR="00D125E1" w:rsidRDefault="00AB7CB1">
    <w:pPr>
      <w:pStyle w:val="Header"/>
      <w:tabs>
        <w:tab w:val="right" w:pos="7938"/>
      </w:tabs>
      <w:spacing w:before="360"/>
      <w:ind w:left="850" w:right="1109" w:firstLine="50"/>
      <w:jc w:val="center"/>
      <w:rPr>
        <w:sz w:val="28"/>
        <w:szCs w:val="28"/>
      </w:rPr>
    </w:pPr>
    <w:r>
      <w:rPr>
        <w:i/>
        <w:noProof/>
        <w:color w:val="0F243E" w:themeColor="text2" w:themeShade="80"/>
        <w:sz w:val="20"/>
        <w:szCs w:val="20"/>
        <w:lang w:val="en-US"/>
      </w:rPr>
      <w:drawing>
        <wp:anchor distT="0" distB="0" distL="114300" distR="114300" simplePos="0" relativeHeight="251666432" behindDoc="0" locked="0" layoutInCell="1" allowOverlap="1" wp14:anchorId="2DEF35CA" wp14:editId="4CEF5EF3">
          <wp:simplePos x="0" y="0"/>
          <wp:positionH relativeFrom="column">
            <wp:posOffset>5039360</wp:posOffset>
          </wp:positionH>
          <wp:positionV relativeFrom="paragraph">
            <wp:posOffset>90805</wp:posOffset>
          </wp:positionV>
          <wp:extent cx="901065" cy="623570"/>
          <wp:effectExtent l="0" t="0" r="0" b="5080"/>
          <wp:wrapThrough wrapText="bothSides">
            <wp:wrapPolygon edited="0">
              <wp:start x="0" y="0"/>
              <wp:lineTo x="0" y="21116"/>
              <wp:lineTo x="21006" y="21116"/>
              <wp:lineTo x="21006" y="0"/>
              <wp:lineTo x="0" y="0"/>
            </wp:wrapPolygon>
          </wp:wrapThrough>
          <wp:docPr id="602372573" name="Picture 6023725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2372573" name="Picture 60237257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1065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i/>
        <w:noProof/>
        <w:color w:val="0F243E" w:themeColor="text2" w:themeShade="80"/>
        <w:sz w:val="20"/>
        <w:szCs w:val="20"/>
        <w:lang w:val="en-US"/>
      </w:rPr>
      <w:drawing>
        <wp:anchor distT="0" distB="0" distL="114300" distR="114300" simplePos="0" relativeHeight="251659264" behindDoc="0" locked="0" layoutInCell="1" allowOverlap="1" wp14:anchorId="161A5E95" wp14:editId="0CAB267D">
          <wp:simplePos x="0" y="0"/>
          <wp:positionH relativeFrom="column">
            <wp:posOffset>-29210</wp:posOffset>
          </wp:positionH>
          <wp:positionV relativeFrom="paragraph">
            <wp:posOffset>30480</wp:posOffset>
          </wp:positionV>
          <wp:extent cx="811530" cy="747395"/>
          <wp:effectExtent l="0" t="0" r="7620" b="0"/>
          <wp:wrapThrough wrapText="bothSides">
            <wp:wrapPolygon edited="0">
              <wp:start x="0" y="0"/>
              <wp:lineTo x="0" y="20921"/>
              <wp:lineTo x="21296" y="20921"/>
              <wp:lineTo x="21296" y="0"/>
              <wp:lineTo x="0" y="0"/>
            </wp:wrapPolygon>
          </wp:wrapThrough>
          <wp:docPr id="1450937525" name="Picture 14509375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0937525" name="Picture 145093752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1530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F243E" w:themeColor="text2" w:themeShade="80"/>
        <w:sz w:val="20"/>
        <w:szCs w:val="20"/>
        <w:lang w:val="en-US"/>
      </w:rPr>
      <mc:AlternateContent>
        <mc:Choice Requires="wps">
          <w:drawing>
            <wp:anchor distT="91440" distB="91440" distL="114300" distR="114300" simplePos="0" relativeHeight="251671552" behindDoc="1" locked="0" layoutInCell="1" allowOverlap="1" wp14:anchorId="1CF05145" wp14:editId="4A6A7EF6">
              <wp:simplePos x="0" y="0"/>
              <wp:positionH relativeFrom="margin">
                <wp:posOffset>8890</wp:posOffset>
              </wp:positionH>
              <wp:positionV relativeFrom="page">
                <wp:posOffset>840105</wp:posOffset>
              </wp:positionV>
              <wp:extent cx="5939790" cy="25400"/>
              <wp:effectExtent l="0" t="0" r="0" b="0"/>
              <wp:wrapSquare wrapText="bothSides"/>
              <wp:docPr id="545188532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939790" cy="2540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id="Rectangle 9" o:spid="_x0000_s1026" o:spt="1" style="position:absolute;left:0pt;margin-left:0.7pt;margin-top:66.15pt;height:2pt;width:467.7pt;mso-position-horizontal-relative:margin;mso-position-vertical-relative:page;mso-wrap-distance-bottom:7.2pt;mso-wrap-distance-left:9pt;mso-wrap-distance-right:9pt;mso-wrap-distance-top:7.2pt;z-index:-251644928;v-text-anchor:middle;mso-width-relative:page;mso-height-relative:page;" fillcolor="#FFC000" filled="t" stroked="f" coordsize="21600,21600" o:gfxdata="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NYEOS2AAAAAkBAAAPAAAAAAAAAAEAIAAAACIAAABkcnMvZG93&#10;bnJldi54bWxQSwECFAAUAAAACACHTuJAJr28/AACAAACBAAADgAAAAAAAAABACAAAAAnAQAAZHJz&#10;L2Uyb0RvYy54bWxQSwUGAAAAAAYABgBZAQAAmQUAAAAA&#10;">
              <v:fill on="t" focussize="0,0"/>
              <v:stroke on="f"/>
              <v:imagedata o:title=""/>
              <o:lock v:ext="edit" aspectratio="f"/>
              <w10:wrap type="square"/>
            </v:rect>
          </w:pict>
        </mc:Fallback>
      </mc:AlternateContent>
    </w:r>
    <w:r>
      <w:rPr>
        <w:color w:val="0F243E" w:themeColor="text2" w:themeShade="80"/>
        <w:sz w:val="20"/>
        <w:szCs w:val="20"/>
      </w:rPr>
      <w:t>НАЦИОНАЛНА КОНЦЕПЦИЯ ЗА РЕГИОНАЛНО И ПРОСТРАНСТВЕНО РАЗВИТИЕ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736C9"/>
    <w:multiLevelType w:val="singleLevel"/>
    <w:tmpl w:val="3BA736C9"/>
    <w:lvl w:ilvl="0">
      <w:start w:val="1"/>
      <w:numFmt w:val="bullet"/>
      <w:pStyle w:val="Tiret0"/>
      <w:lvlText w:val="–"/>
      <w:lvlJc w:val="left"/>
      <w:pPr>
        <w:tabs>
          <w:tab w:val="left" w:pos="850"/>
        </w:tabs>
        <w:ind w:left="850" w:hanging="850"/>
      </w:pPr>
    </w:lvl>
  </w:abstractNum>
  <w:abstractNum w:abstractNumId="1" w15:restartNumberingAfterBreak="0">
    <w:nsid w:val="5451708E"/>
    <w:multiLevelType w:val="multilevel"/>
    <w:tmpl w:val="5451708E"/>
    <w:lvl w:ilvl="0">
      <w:start w:val="1"/>
      <w:numFmt w:val="decimal"/>
      <w:pStyle w:val="Heading3"/>
      <w:lvlText w:val="%1.1.1"/>
      <w:lvlJc w:val="left"/>
      <w:pPr>
        <w:ind w:left="2629" w:hanging="360"/>
      </w:pPr>
      <w:rPr>
        <w:rFonts w:ascii="Times New Roman" w:hAnsi="Times New Roman" w:cs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pStyle w:val="41"/>
      <w:lvlText w:val="%2."/>
      <w:lvlJc w:val="left"/>
      <w:pPr>
        <w:ind w:left="3352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07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792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5512" w:hanging="36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6232" w:hanging="180"/>
      </w:pPr>
      <w:rPr>
        <w:rFonts w:ascii="Symbol" w:hAnsi="Symbol" w:cs="Symbol" w:hint="default"/>
        <w:color w:val="auto"/>
      </w:rPr>
    </w:lvl>
    <w:lvl w:ilvl="6">
      <w:start w:val="1"/>
      <w:numFmt w:val="bullet"/>
      <w:lvlText w:val=""/>
      <w:lvlJc w:val="left"/>
      <w:pPr>
        <w:ind w:left="6952" w:hanging="360"/>
      </w:pPr>
      <w:rPr>
        <w:rFonts w:ascii="Symbol" w:hAnsi="Symbol" w:cs="Symbol" w:hint="default"/>
        <w:color w:val="auto"/>
      </w:rPr>
    </w:lvl>
    <w:lvl w:ilvl="7">
      <w:start w:val="1"/>
      <w:numFmt w:val="bullet"/>
      <w:lvlText w:val=""/>
      <w:lvlJc w:val="left"/>
      <w:pPr>
        <w:ind w:left="7672" w:hanging="360"/>
      </w:pPr>
      <w:rPr>
        <w:rFonts w:ascii="Symbol" w:hAnsi="Symbol" w:cs="Symbol" w:hint="default"/>
        <w:color w:val="auto"/>
      </w:rPr>
    </w:lvl>
    <w:lvl w:ilvl="8">
      <w:start w:val="1"/>
      <w:numFmt w:val="bullet"/>
      <w:lvlText w:val=""/>
      <w:lvlJc w:val="left"/>
      <w:pPr>
        <w:ind w:left="8392" w:hanging="180"/>
      </w:pPr>
      <w:rPr>
        <w:rFonts w:ascii="Symbol" w:hAnsi="Symbol" w:cs="Symbol" w:hint="default"/>
        <w:color w:val="auto"/>
      </w:rPr>
    </w:lvl>
  </w:abstractNum>
  <w:abstractNum w:abstractNumId="2" w15:restartNumberingAfterBreak="0">
    <w:nsid w:val="5CA87010"/>
    <w:multiLevelType w:val="multilevel"/>
    <w:tmpl w:val="5CA87010"/>
    <w:lvl w:ilvl="0">
      <w:start w:val="1"/>
      <w:numFmt w:val="decimal"/>
      <w:pStyle w:val="Heading1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>
      <w:start w:val="1"/>
      <w:numFmt w:val="decimal"/>
      <w:pStyle w:val="Heading2"/>
      <w:lvlText w:val="%1.%2."/>
      <w:lvlJc w:val="left"/>
      <w:pPr>
        <w:ind w:left="1425" w:hanging="432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pStyle w:val="3"/>
      <w:lvlText w:val="%1.%2.%3."/>
      <w:lvlJc w:val="left"/>
      <w:pPr>
        <w:ind w:left="646" w:hanging="504"/>
      </w:pPr>
      <w:rPr>
        <w:strike w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87C319A"/>
    <w:multiLevelType w:val="multilevel"/>
    <w:tmpl w:val="687C319A"/>
    <w:lvl w:ilvl="0">
      <w:start w:val="1"/>
      <w:numFmt w:val="decimal"/>
      <w:pStyle w:val="Heading4"/>
      <w:lvlText w:val="%1.1.1.1"/>
      <w:lvlJc w:val="left"/>
      <w:pPr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96F17A6"/>
    <w:multiLevelType w:val="multilevel"/>
    <w:tmpl w:val="696F17A6"/>
    <w:lvl w:ilvl="0">
      <w:start w:val="1"/>
      <w:numFmt w:val="upperRoman"/>
      <w:pStyle w:val="HEADING0"/>
      <w:lvlText w:val="%1."/>
      <w:lvlJc w:val="right"/>
      <w:pPr>
        <w:ind w:left="810" w:hanging="360"/>
      </w:pPr>
      <w:rPr>
        <w:b/>
        <w:bCs w:val="0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D022FCB"/>
    <w:multiLevelType w:val="multilevel"/>
    <w:tmpl w:val="6D022FCB"/>
    <w:lvl w:ilvl="0">
      <w:start w:val="1"/>
      <w:numFmt w:val="bullet"/>
      <w:pStyle w:val="2"/>
      <w:lvlText w:val=""/>
      <w:lvlJc w:val="left"/>
      <w:pPr>
        <w:ind w:left="214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8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30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4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46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09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0"/>
  <w:defaultTabStop w:val="708"/>
  <w:hyphenationZone w:val="425"/>
  <w:doNotHyphenateCaps/>
  <w:drawingGridHorizontalSpacing w:val="181"/>
  <w:drawingGridVerticalSpacing w:val="181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641"/>
    <w:rsid w:val="F7FF2608"/>
    <w:rsid w:val="0000260E"/>
    <w:rsid w:val="00003BDA"/>
    <w:rsid w:val="00003FD9"/>
    <w:rsid w:val="00005D92"/>
    <w:rsid w:val="00005FA1"/>
    <w:rsid w:val="00006BE0"/>
    <w:rsid w:val="000077E3"/>
    <w:rsid w:val="0001009D"/>
    <w:rsid w:val="000101DB"/>
    <w:rsid w:val="00010677"/>
    <w:rsid w:val="00010859"/>
    <w:rsid w:val="00013336"/>
    <w:rsid w:val="00014727"/>
    <w:rsid w:val="00014C94"/>
    <w:rsid w:val="00014D76"/>
    <w:rsid w:val="00015806"/>
    <w:rsid w:val="00017340"/>
    <w:rsid w:val="00017BB3"/>
    <w:rsid w:val="00017D5D"/>
    <w:rsid w:val="000206D0"/>
    <w:rsid w:val="00020E37"/>
    <w:rsid w:val="00021CC9"/>
    <w:rsid w:val="00022171"/>
    <w:rsid w:val="00025448"/>
    <w:rsid w:val="0002593B"/>
    <w:rsid w:val="00025BBB"/>
    <w:rsid w:val="0003241E"/>
    <w:rsid w:val="00032F1F"/>
    <w:rsid w:val="00032F36"/>
    <w:rsid w:val="00034E84"/>
    <w:rsid w:val="00035A6D"/>
    <w:rsid w:val="00036AA7"/>
    <w:rsid w:val="00036E61"/>
    <w:rsid w:val="000370F8"/>
    <w:rsid w:val="00045119"/>
    <w:rsid w:val="00045517"/>
    <w:rsid w:val="00047646"/>
    <w:rsid w:val="00047909"/>
    <w:rsid w:val="00047A83"/>
    <w:rsid w:val="00047BE2"/>
    <w:rsid w:val="00051269"/>
    <w:rsid w:val="00051805"/>
    <w:rsid w:val="00051A1E"/>
    <w:rsid w:val="00051D16"/>
    <w:rsid w:val="000524AF"/>
    <w:rsid w:val="000527E1"/>
    <w:rsid w:val="000548C6"/>
    <w:rsid w:val="000562AC"/>
    <w:rsid w:val="0005787F"/>
    <w:rsid w:val="00057DDA"/>
    <w:rsid w:val="00057FF3"/>
    <w:rsid w:val="00060080"/>
    <w:rsid w:val="00060D71"/>
    <w:rsid w:val="00061EA0"/>
    <w:rsid w:val="00062294"/>
    <w:rsid w:val="000624A8"/>
    <w:rsid w:val="00063450"/>
    <w:rsid w:val="000636F2"/>
    <w:rsid w:val="000642A5"/>
    <w:rsid w:val="000647C4"/>
    <w:rsid w:val="0006559A"/>
    <w:rsid w:val="00071905"/>
    <w:rsid w:val="00071AE1"/>
    <w:rsid w:val="00071C58"/>
    <w:rsid w:val="00072167"/>
    <w:rsid w:val="00073648"/>
    <w:rsid w:val="00074C4F"/>
    <w:rsid w:val="00075078"/>
    <w:rsid w:val="00075DE1"/>
    <w:rsid w:val="000762D9"/>
    <w:rsid w:val="00076641"/>
    <w:rsid w:val="00076D87"/>
    <w:rsid w:val="00076DC5"/>
    <w:rsid w:val="000775BE"/>
    <w:rsid w:val="000776AF"/>
    <w:rsid w:val="00077F36"/>
    <w:rsid w:val="00080514"/>
    <w:rsid w:val="00081C96"/>
    <w:rsid w:val="0008241A"/>
    <w:rsid w:val="00082477"/>
    <w:rsid w:val="00082B44"/>
    <w:rsid w:val="00082BE8"/>
    <w:rsid w:val="00084135"/>
    <w:rsid w:val="00084C65"/>
    <w:rsid w:val="00086711"/>
    <w:rsid w:val="00090A56"/>
    <w:rsid w:val="000936A1"/>
    <w:rsid w:val="000955CD"/>
    <w:rsid w:val="00095B28"/>
    <w:rsid w:val="0009643B"/>
    <w:rsid w:val="0009797F"/>
    <w:rsid w:val="000979BF"/>
    <w:rsid w:val="000A0003"/>
    <w:rsid w:val="000A04B3"/>
    <w:rsid w:val="000A0A76"/>
    <w:rsid w:val="000A0CA7"/>
    <w:rsid w:val="000A18BA"/>
    <w:rsid w:val="000A1951"/>
    <w:rsid w:val="000A28A4"/>
    <w:rsid w:val="000A4EE2"/>
    <w:rsid w:val="000A5FB5"/>
    <w:rsid w:val="000A68E8"/>
    <w:rsid w:val="000B01FD"/>
    <w:rsid w:val="000B1478"/>
    <w:rsid w:val="000B23A3"/>
    <w:rsid w:val="000B2A5F"/>
    <w:rsid w:val="000B44DA"/>
    <w:rsid w:val="000B68EF"/>
    <w:rsid w:val="000C1385"/>
    <w:rsid w:val="000C191F"/>
    <w:rsid w:val="000C209B"/>
    <w:rsid w:val="000C2405"/>
    <w:rsid w:val="000C3053"/>
    <w:rsid w:val="000C308E"/>
    <w:rsid w:val="000C36E1"/>
    <w:rsid w:val="000C388A"/>
    <w:rsid w:val="000C4275"/>
    <w:rsid w:val="000C4F1D"/>
    <w:rsid w:val="000C5FE3"/>
    <w:rsid w:val="000C6E05"/>
    <w:rsid w:val="000D00DA"/>
    <w:rsid w:val="000D0835"/>
    <w:rsid w:val="000D10B9"/>
    <w:rsid w:val="000D1472"/>
    <w:rsid w:val="000D2325"/>
    <w:rsid w:val="000D4113"/>
    <w:rsid w:val="000D5136"/>
    <w:rsid w:val="000D5E8C"/>
    <w:rsid w:val="000D659C"/>
    <w:rsid w:val="000D7943"/>
    <w:rsid w:val="000E0613"/>
    <w:rsid w:val="000E0F17"/>
    <w:rsid w:val="000E169E"/>
    <w:rsid w:val="000E33DF"/>
    <w:rsid w:val="000E35C2"/>
    <w:rsid w:val="000E398C"/>
    <w:rsid w:val="000E3B50"/>
    <w:rsid w:val="000E5A64"/>
    <w:rsid w:val="000E703B"/>
    <w:rsid w:val="000E7855"/>
    <w:rsid w:val="000F1D63"/>
    <w:rsid w:val="000F2489"/>
    <w:rsid w:val="000F39AD"/>
    <w:rsid w:val="000F494D"/>
    <w:rsid w:val="000F4F7B"/>
    <w:rsid w:val="000F5D80"/>
    <w:rsid w:val="000F6ADF"/>
    <w:rsid w:val="000F76A1"/>
    <w:rsid w:val="000F791B"/>
    <w:rsid w:val="000F7B2B"/>
    <w:rsid w:val="00100C03"/>
    <w:rsid w:val="001023AA"/>
    <w:rsid w:val="00102466"/>
    <w:rsid w:val="00102A03"/>
    <w:rsid w:val="00102A55"/>
    <w:rsid w:val="00102E5D"/>
    <w:rsid w:val="00102F0A"/>
    <w:rsid w:val="00103750"/>
    <w:rsid w:val="00103B40"/>
    <w:rsid w:val="001046C9"/>
    <w:rsid w:val="001047D4"/>
    <w:rsid w:val="00105039"/>
    <w:rsid w:val="0010529D"/>
    <w:rsid w:val="00105CB5"/>
    <w:rsid w:val="00105EA2"/>
    <w:rsid w:val="00106A67"/>
    <w:rsid w:val="00106A6C"/>
    <w:rsid w:val="0011070C"/>
    <w:rsid w:val="00111DEF"/>
    <w:rsid w:val="001121FC"/>
    <w:rsid w:val="001123D9"/>
    <w:rsid w:val="00113A45"/>
    <w:rsid w:val="001142F1"/>
    <w:rsid w:val="0012000E"/>
    <w:rsid w:val="00120716"/>
    <w:rsid w:val="00120F95"/>
    <w:rsid w:val="00122806"/>
    <w:rsid w:val="00122986"/>
    <w:rsid w:val="001232CC"/>
    <w:rsid w:val="00124A68"/>
    <w:rsid w:val="00124BEC"/>
    <w:rsid w:val="00125EAD"/>
    <w:rsid w:val="0012613B"/>
    <w:rsid w:val="00130E7D"/>
    <w:rsid w:val="00131036"/>
    <w:rsid w:val="00131201"/>
    <w:rsid w:val="0013148C"/>
    <w:rsid w:val="001317B0"/>
    <w:rsid w:val="00133BC3"/>
    <w:rsid w:val="00134E69"/>
    <w:rsid w:val="001379E1"/>
    <w:rsid w:val="00143F34"/>
    <w:rsid w:val="00144040"/>
    <w:rsid w:val="0014451F"/>
    <w:rsid w:val="00145CF9"/>
    <w:rsid w:val="00147741"/>
    <w:rsid w:val="001512F2"/>
    <w:rsid w:val="00152428"/>
    <w:rsid w:val="00153FCF"/>
    <w:rsid w:val="00154DD9"/>
    <w:rsid w:val="001557AB"/>
    <w:rsid w:val="00155C56"/>
    <w:rsid w:val="00156B28"/>
    <w:rsid w:val="00157C8D"/>
    <w:rsid w:val="00157EEE"/>
    <w:rsid w:val="00157FEC"/>
    <w:rsid w:val="00160807"/>
    <w:rsid w:val="001615A9"/>
    <w:rsid w:val="001619AE"/>
    <w:rsid w:val="00161A5B"/>
    <w:rsid w:val="0016472E"/>
    <w:rsid w:val="00164BCC"/>
    <w:rsid w:val="00166AD1"/>
    <w:rsid w:val="001679B4"/>
    <w:rsid w:val="001709A1"/>
    <w:rsid w:val="001709B4"/>
    <w:rsid w:val="00170CC3"/>
    <w:rsid w:val="001714B5"/>
    <w:rsid w:val="001747CF"/>
    <w:rsid w:val="001753F9"/>
    <w:rsid w:val="001754DA"/>
    <w:rsid w:val="00175C4A"/>
    <w:rsid w:val="00175CFC"/>
    <w:rsid w:val="0017607B"/>
    <w:rsid w:val="00177DE0"/>
    <w:rsid w:val="0018026A"/>
    <w:rsid w:val="00180549"/>
    <w:rsid w:val="00181E51"/>
    <w:rsid w:val="0018302C"/>
    <w:rsid w:val="001830CC"/>
    <w:rsid w:val="001835FA"/>
    <w:rsid w:val="00183993"/>
    <w:rsid w:val="00184942"/>
    <w:rsid w:val="001855DB"/>
    <w:rsid w:val="00186663"/>
    <w:rsid w:val="0018686F"/>
    <w:rsid w:val="001906CF"/>
    <w:rsid w:val="00190E7C"/>
    <w:rsid w:val="001919C5"/>
    <w:rsid w:val="00191A1D"/>
    <w:rsid w:val="0019226B"/>
    <w:rsid w:val="00193BD5"/>
    <w:rsid w:val="00195BB8"/>
    <w:rsid w:val="0019641F"/>
    <w:rsid w:val="001973C5"/>
    <w:rsid w:val="00197FF5"/>
    <w:rsid w:val="001A0261"/>
    <w:rsid w:val="001A05B7"/>
    <w:rsid w:val="001A1967"/>
    <w:rsid w:val="001A1FD9"/>
    <w:rsid w:val="001A20E5"/>
    <w:rsid w:val="001A41FA"/>
    <w:rsid w:val="001A451C"/>
    <w:rsid w:val="001A554E"/>
    <w:rsid w:val="001A6736"/>
    <w:rsid w:val="001A7362"/>
    <w:rsid w:val="001A75D4"/>
    <w:rsid w:val="001A7641"/>
    <w:rsid w:val="001A76C8"/>
    <w:rsid w:val="001B0968"/>
    <w:rsid w:val="001B0D36"/>
    <w:rsid w:val="001B106B"/>
    <w:rsid w:val="001B1085"/>
    <w:rsid w:val="001B3A63"/>
    <w:rsid w:val="001B409A"/>
    <w:rsid w:val="001B47BE"/>
    <w:rsid w:val="001B6237"/>
    <w:rsid w:val="001B6586"/>
    <w:rsid w:val="001B6D1C"/>
    <w:rsid w:val="001B72EA"/>
    <w:rsid w:val="001B757A"/>
    <w:rsid w:val="001C017B"/>
    <w:rsid w:val="001C0463"/>
    <w:rsid w:val="001C09E7"/>
    <w:rsid w:val="001C11A6"/>
    <w:rsid w:val="001C452C"/>
    <w:rsid w:val="001C633C"/>
    <w:rsid w:val="001C7643"/>
    <w:rsid w:val="001D0111"/>
    <w:rsid w:val="001D027D"/>
    <w:rsid w:val="001D05B8"/>
    <w:rsid w:val="001D063C"/>
    <w:rsid w:val="001D0C67"/>
    <w:rsid w:val="001D0CAD"/>
    <w:rsid w:val="001D1AEF"/>
    <w:rsid w:val="001D1D23"/>
    <w:rsid w:val="001D2BBB"/>
    <w:rsid w:val="001D530F"/>
    <w:rsid w:val="001D57C4"/>
    <w:rsid w:val="001D64ED"/>
    <w:rsid w:val="001D6916"/>
    <w:rsid w:val="001D72C6"/>
    <w:rsid w:val="001E1786"/>
    <w:rsid w:val="001E231A"/>
    <w:rsid w:val="001E25DB"/>
    <w:rsid w:val="001E280F"/>
    <w:rsid w:val="001E2C86"/>
    <w:rsid w:val="001E3884"/>
    <w:rsid w:val="001E577F"/>
    <w:rsid w:val="001E5F15"/>
    <w:rsid w:val="001E6671"/>
    <w:rsid w:val="001E6F19"/>
    <w:rsid w:val="001E7A96"/>
    <w:rsid w:val="001F093A"/>
    <w:rsid w:val="001F33C7"/>
    <w:rsid w:val="001F3513"/>
    <w:rsid w:val="001F49E7"/>
    <w:rsid w:val="001F539B"/>
    <w:rsid w:val="001F6866"/>
    <w:rsid w:val="001F7A59"/>
    <w:rsid w:val="00200103"/>
    <w:rsid w:val="0020212F"/>
    <w:rsid w:val="00204705"/>
    <w:rsid w:val="00204C6B"/>
    <w:rsid w:val="0020645F"/>
    <w:rsid w:val="00206AD8"/>
    <w:rsid w:val="00207EAF"/>
    <w:rsid w:val="00210B65"/>
    <w:rsid w:val="00210EE4"/>
    <w:rsid w:val="00211842"/>
    <w:rsid w:val="00212F33"/>
    <w:rsid w:val="00213682"/>
    <w:rsid w:val="00213795"/>
    <w:rsid w:val="00213E9F"/>
    <w:rsid w:val="00216A35"/>
    <w:rsid w:val="00216BEA"/>
    <w:rsid w:val="0022010F"/>
    <w:rsid w:val="00221250"/>
    <w:rsid w:val="0022176B"/>
    <w:rsid w:val="00222F29"/>
    <w:rsid w:val="00225F14"/>
    <w:rsid w:val="00226ECC"/>
    <w:rsid w:val="00227B16"/>
    <w:rsid w:val="00231E42"/>
    <w:rsid w:val="00232063"/>
    <w:rsid w:val="002323C4"/>
    <w:rsid w:val="00232DE5"/>
    <w:rsid w:val="00233CCB"/>
    <w:rsid w:val="002355A1"/>
    <w:rsid w:val="00236F06"/>
    <w:rsid w:val="00237142"/>
    <w:rsid w:val="00237D01"/>
    <w:rsid w:val="0024037D"/>
    <w:rsid w:val="00240436"/>
    <w:rsid w:val="00240807"/>
    <w:rsid w:val="002414AF"/>
    <w:rsid w:val="00242804"/>
    <w:rsid w:val="00245C76"/>
    <w:rsid w:val="002461BE"/>
    <w:rsid w:val="00246209"/>
    <w:rsid w:val="002462CF"/>
    <w:rsid w:val="002514DC"/>
    <w:rsid w:val="00252181"/>
    <w:rsid w:val="0025253C"/>
    <w:rsid w:val="002535B4"/>
    <w:rsid w:val="00253B48"/>
    <w:rsid w:val="00254655"/>
    <w:rsid w:val="00255D66"/>
    <w:rsid w:val="002570DB"/>
    <w:rsid w:val="002570E0"/>
    <w:rsid w:val="0025730C"/>
    <w:rsid w:val="002579AE"/>
    <w:rsid w:val="00257AC8"/>
    <w:rsid w:val="0026030B"/>
    <w:rsid w:val="0026035D"/>
    <w:rsid w:val="002605E3"/>
    <w:rsid w:val="002614E6"/>
    <w:rsid w:val="00261AAC"/>
    <w:rsid w:val="00262456"/>
    <w:rsid w:val="00263568"/>
    <w:rsid w:val="00263569"/>
    <w:rsid w:val="002639F0"/>
    <w:rsid w:val="00264244"/>
    <w:rsid w:val="002642D2"/>
    <w:rsid w:val="00264468"/>
    <w:rsid w:val="002654DB"/>
    <w:rsid w:val="00265FB3"/>
    <w:rsid w:val="002660CE"/>
    <w:rsid w:val="00266A81"/>
    <w:rsid w:val="0027028C"/>
    <w:rsid w:val="00270689"/>
    <w:rsid w:val="002706A5"/>
    <w:rsid w:val="0027151E"/>
    <w:rsid w:val="0027186B"/>
    <w:rsid w:val="00272B79"/>
    <w:rsid w:val="00273B1A"/>
    <w:rsid w:val="00276BF9"/>
    <w:rsid w:val="00277765"/>
    <w:rsid w:val="00280139"/>
    <w:rsid w:val="00281BBA"/>
    <w:rsid w:val="002859E4"/>
    <w:rsid w:val="002865C0"/>
    <w:rsid w:val="00287371"/>
    <w:rsid w:val="00287B9E"/>
    <w:rsid w:val="00293024"/>
    <w:rsid w:val="00293E27"/>
    <w:rsid w:val="00294090"/>
    <w:rsid w:val="002942D8"/>
    <w:rsid w:val="00294CC4"/>
    <w:rsid w:val="00295882"/>
    <w:rsid w:val="002972F2"/>
    <w:rsid w:val="00297CD0"/>
    <w:rsid w:val="002A127A"/>
    <w:rsid w:val="002A189C"/>
    <w:rsid w:val="002A1DD1"/>
    <w:rsid w:val="002A2F89"/>
    <w:rsid w:val="002A3416"/>
    <w:rsid w:val="002A4667"/>
    <w:rsid w:val="002A4762"/>
    <w:rsid w:val="002A4F54"/>
    <w:rsid w:val="002A6CAB"/>
    <w:rsid w:val="002A6E81"/>
    <w:rsid w:val="002A707C"/>
    <w:rsid w:val="002A74A4"/>
    <w:rsid w:val="002A7585"/>
    <w:rsid w:val="002A7939"/>
    <w:rsid w:val="002A795C"/>
    <w:rsid w:val="002B09CA"/>
    <w:rsid w:val="002B1585"/>
    <w:rsid w:val="002B2519"/>
    <w:rsid w:val="002B2BF5"/>
    <w:rsid w:val="002B2C9F"/>
    <w:rsid w:val="002B2D94"/>
    <w:rsid w:val="002B3B48"/>
    <w:rsid w:val="002B496C"/>
    <w:rsid w:val="002B4EB6"/>
    <w:rsid w:val="002B52B3"/>
    <w:rsid w:val="002B53FD"/>
    <w:rsid w:val="002B7C98"/>
    <w:rsid w:val="002C041A"/>
    <w:rsid w:val="002C2102"/>
    <w:rsid w:val="002C216D"/>
    <w:rsid w:val="002C4357"/>
    <w:rsid w:val="002C4793"/>
    <w:rsid w:val="002C51CF"/>
    <w:rsid w:val="002C7049"/>
    <w:rsid w:val="002C7AE6"/>
    <w:rsid w:val="002D0EAA"/>
    <w:rsid w:val="002D0FE1"/>
    <w:rsid w:val="002D1188"/>
    <w:rsid w:val="002D1754"/>
    <w:rsid w:val="002D282D"/>
    <w:rsid w:val="002D4E69"/>
    <w:rsid w:val="002D60DF"/>
    <w:rsid w:val="002D62BA"/>
    <w:rsid w:val="002D662B"/>
    <w:rsid w:val="002E03A8"/>
    <w:rsid w:val="002E10F1"/>
    <w:rsid w:val="002E1FD5"/>
    <w:rsid w:val="002E31C8"/>
    <w:rsid w:val="002E3900"/>
    <w:rsid w:val="002E7BC4"/>
    <w:rsid w:val="002F0AE9"/>
    <w:rsid w:val="002F21B7"/>
    <w:rsid w:val="002F288E"/>
    <w:rsid w:val="002F2C07"/>
    <w:rsid w:val="002F307B"/>
    <w:rsid w:val="002F3840"/>
    <w:rsid w:val="002F4692"/>
    <w:rsid w:val="002F6DA2"/>
    <w:rsid w:val="002F71A5"/>
    <w:rsid w:val="00300238"/>
    <w:rsid w:val="0030210B"/>
    <w:rsid w:val="003021EE"/>
    <w:rsid w:val="00302DE5"/>
    <w:rsid w:val="00303814"/>
    <w:rsid w:val="00304A3A"/>
    <w:rsid w:val="00304D0C"/>
    <w:rsid w:val="003052CB"/>
    <w:rsid w:val="00306820"/>
    <w:rsid w:val="003074C3"/>
    <w:rsid w:val="00310983"/>
    <w:rsid w:val="00312050"/>
    <w:rsid w:val="003127DE"/>
    <w:rsid w:val="00313187"/>
    <w:rsid w:val="00315135"/>
    <w:rsid w:val="00315442"/>
    <w:rsid w:val="003160F8"/>
    <w:rsid w:val="0031713F"/>
    <w:rsid w:val="003202A7"/>
    <w:rsid w:val="00321CC6"/>
    <w:rsid w:val="00322004"/>
    <w:rsid w:val="0032334D"/>
    <w:rsid w:val="003236AA"/>
    <w:rsid w:val="00323826"/>
    <w:rsid w:val="00323D64"/>
    <w:rsid w:val="003242EC"/>
    <w:rsid w:val="0032608A"/>
    <w:rsid w:val="00326365"/>
    <w:rsid w:val="0032712E"/>
    <w:rsid w:val="00330935"/>
    <w:rsid w:val="00331902"/>
    <w:rsid w:val="00331F5C"/>
    <w:rsid w:val="00332022"/>
    <w:rsid w:val="00332379"/>
    <w:rsid w:val="00333063"/>
    <w:rsid w:val="003333CD"/>
    <w:rsid w:val="00333406"/>
    <w:rsid w:val="00333807"/>
    <w:rsid w:val="00334D1F"/>
    <w:rsid w:val="003355FB"/>
    <w:rsid w:val="00336535"/>
    <w:rsid w:val="00336593"/>
    <w:rsid w:val="00340365"/>
    <w:rsid w:val="00340689"/>
    <w:rsid w:val="00341CF1"/>
    <w:rsid w:val="0034275D"/>
    <w:rsid w:val="00342A6A"/>
    <w:rsid w:val="003430F3"/>
    <w:rsid w:val="003435EE"/>
    <w:rsid w:val="0034382B"/>
    <w:rsid w:val="00343B8A"/>
    <w:rsid w:val="00343F5C"/>
    <w:rsid w:val="00346078"/>
    <w:rsid w:val="003465A2"/>
    <w:rsid w:val="00347201"/>
    <w:rsid w:val="0034743B"/>
    <w:rsid w:val="0034743F"/>
    <w:rsid w:val="00347568"/>
    <w:rsid w:val="003479A1"/>
    <w:rsid w:val="00350434"/>
    <w:rsid w:val="00350B51"/>
    <w:rsid w:val="00353338"/>
    <w:rsid w:val="00353F6C"/>
    <w:rsid w:val="00354236"/>
    <w:rsid w:val="003543E2"/>
    <w:rsid w:val="00355839"/>
    <w:rsid w:val="003563A8"/>
    <w:rsid w:val="003563D9"/>
    <w:rsid w:val="00356584"/>
    <w:rsid w:val="0035778B"/>
    <w:rsid w:val="003578FE"/>
    <w:rsid w:val="00360B93"/>
    <w:rsid w:val="00362002"/>
    <w:rsid w:val="00362778"/>
    <w:rsid w:val="0036326B"/>
    <w:rsid w:val="00363D34"/>
    <w:rsid w:val="0036444E"/>
    <w:rsid w:val="00364C75"/>
    <w:rsid w:val="003666CE"/>
    <w:rsid w:val="0037004B"/>
    <w:rsid w:val="00371119"/>
    <w:rsid w:val="00371A24"/>
    <w:rsid w:val="00372664"/>
    <w:rsid w:val="003733C2"/>
    <w:rsid w:val="00373F03"/>
    <w:rsid w:val="00374064"/>
    <w:rsid w:val="003750D1"/>
    <w:rsid w:val="00380530"/>
    <w:rsid w:val="00383185"/>
    <w:rsid w:val="00383538"/>
    <w:rsid w:val="00383AA0"/>
    <w:rsid w:val="003849BD"/>
    <w:rsid w:val="00385700"/>
    <w:rsid w:val="00385A5A"/>
    <w:rsid w:val="0038719D"/>
    <w:rsid w:val="003875C2"/>
    <w:rsid w:val="003907C8"/>
    <w:rsid w:val="00390D26"/>
    <w:rsid w:val="003920F1"/>
    <w:rsid w:val="003938A9"/>
    <w:rsid w:val="00393C88"/>
    <w:rsid w:val="003945A4"/>
    <w:rsid w:val="003945B6"/>
    <w:rsid w:val="00394BBE"/>
    <w:rsid w:val="003957A1"/>
    <w:rsid w:val="00395AA7"/>
    <w:rsid w:val="003A11C7"/>
    <w:rsid w:val="003A186D"/>
    <w:rsid w:val="003A1CA3"/>
    <w:rsid w:val="003A2217"/>
    <w:rsid w:val="003A2CBD"/>
    <w:rsid w:val="003A2FAA"/>
    <w:rsid w:val="003A47A4"/>
    <w:rsid w:val="003A4FD9"/>
    <w:rsid w:val="003A5293"/>
    <w:rsid w:val="003A5ADD"/>
    <w:rsid w:val="003B0092"/>
    <w:rsid w:val="003B0655"/>
    <w:rsid w:val="003B1E70"/>
    <w:rsid w:val="003B23F1"/>
    <w:rsid w:val="003B2FBF"/>
    <w:rsid w:val="003B3536"/>
    <w:rsid w:val="003B3C63"/>
    <w:rsid w:val="003B4607"/>
    <w:rsid w:val="003B610B"/>
    <w:rsid w:val="003B6ACC"/>
    <w:rsid w:val="003B7783"/>
    <w:rsid w:val="003C0E8D"/>
    <w:rsid w:val="003C140D"/>
    <w:rsid w:val="003C2441"/>
    <w:rsid w:val="003C31EC"/>
    <w:rsid w:val="003C3F5A"/>
    <w:rsid w:val="003C41AB"/>
    <w:rsid w:val="003C463C"/>
    <w:rsid w:val="003C4AE8"/>
    <w:rsid w:val="003C5B08"/>
    <w:rsid w:val="003C77EF"/>
    <w:rsid w:val="003D0595"/>
    <w:rsid w:val="003D2415"/>
    <w:rsid w:val="003D246D"/>
    <w:rsid w:val="003D303E"/>
    <w:rsid w:val="003D56EE"/>
    <w:rsid w:val="003D5E83"/>
    <w:rsid w:val="003D7586"/>
    <w:rsid w:val="003E13E9"/>
    <w:rsid w:val="003E215A"/>
    <w:rsid w:val="003E53FA"/>
    <w:rsid w:val="003E5DCE"/>
    <w:rsid w:val="003E5EB9"/>
    <w:rsid w:val="003E76B3"/>
    <w:rsid w:val="003E76D5"/>
    <w:rsid w:val="003F01E8"/>
    <w:rsid w:val="003F06EA"/>
    <w:rsid w:val="003F10D3"/>
    <w:rsid w:val="003F1F9D"/>
    <w:rsid w:val="003F20AA"/>
    <w:rsid w:val="003F2160"/>
    <w:rsid w:val="003F245D"/>
    <w:rsid w:val="003F3EB5"/>
    <w:rsid w:val="003F43CA"/>
    <w:rsid w:val="003F45AC"/>
    <w:rsid w:val="003F4A94"/>
    <w:rsid w:val="003F5787"/>
    <w:rsid w:val="003F591D"/>
    <w:rsid w:val="003F5F03"/>
    <w:rsid w:val="003F6ABF"/>
    <w:rsid w:val="003F71A8"/>
    <w:rsid w:val="004010CD"/>
    <w:rsid w:val="00402299"/>
    <w:rsid w:val="00405941"/>
    <w:rsid w:val="00405CCC"/>
    <w:rsid w:val="00405F5D"/>
    <w:rsid w:val="0040696F"/>
    <w:rsid w:val="0040771B"/>
    <w:rsid w:val="004101C8"/>
    <w:rsid w:val="00410CE6"/>
    <w:rsid w:val="004144F5"/>
    <w:rsid w:val="00415469"/>
    <w:rsid w:val="00415B44"/>
    <w:rsid w:val="00416250"/>
    <w:rsid w:val="00416297"/>
    <w:rsid w:val="004170D5"/>
    <w:rsid w:val="00421466"/>
    <w:rsid w:val="00422385"/>
    <w:rsid w:val="004228C9"/>
    <w:rsid w:val="00424ED3"/>
    <w:rsid w:val="0042554A"/>
    <w:rsid w:val="00425B35"/>
    <w:rsid w:val="00425D5B"/>
    <w:rsid w:val="0042787E"/>
    <w:rsid w:val="00427B53"/>
    <w:rsid w:val="004307D2"/>
    <w:rsid w:val="00430941"/>
    <w:rsid w:val="00430A48"/>
    <w:rsid w:val="00430A76"/>
    <w:rsid w:val="00430ADD"/>
    <w:rsid w:val="00432BE5"/>
    <w:rsid w:val="00433C12"/>
    <w:rsid w:val="00433FBF"/>
    <w:rsid w:val="0043501E"/>
    <w:rsid w:val="0043623E"/>
    <w:rsid w:val="004365E2"/>
    <w:rsid w:val="00436F58"/>
    <w:rsid w:val="00441374"/>
    <w:rsid w:val="00441C13"/>
    <w:rsid w:val="00442908"/>
    <w:rsid w:val="0044314A"/>
    <w:rsid w:val="00446125"/>
    <w:rsid w:val="00450BF3"/>
    <w:rsid w:val="004515A1"/>
    <w:rsid w:val="00452637"/>
    <w:rsid w:val="00452952"/>
    <w:rsid w:val="00453E3B"/>
    <w:rsid w:val="004542C1"/>
    <w:rsid w:val="004545C5"/>
    <w:rsid w:val="00455C50"/>
    <w:rsid w:val="00456D2D"/>
    <w:rsid w:val="00460817"/>
    <w:rsid w:val="00461C49"/>
    <w:rsid w:val="00461C78"/>
    <w:rsid w:val="0046253B"/>
    <w:rsid w:val="00462AC5"/>
    <w:rsid w:val="00462D44"/>
    <w:rsid w:val="004638E3"/>
    <w:rsid w:val="00463C42"/>
    <w:rsid w:val="00464263"/>
    <w:rsid w:val="0046503C"/>
    <w:rsid w:val="00465232"/>
    <w:rsid w:val="004667F2"/>
    <w:rsid w:val="00466946"/>
    <w:rsid w:val="0046773C"/>
    <w:rsid w:val="00467E47"/>
    <w:rsid w:val="004701D8"/>
    <w:rsid w:val="00470D88"/>
    <w:rsid w:val="00470DE0"/>
    <w:rsid w:val="004712E7"/>
    <w:rsid w:val="004724ED"/>
    <w:rsid w:val="00474D89"/>
    <w:rsid w:val="00474DCB"/>
    <w:rsid w:val="00474ECE"/>
    <w:rsid w:val="0047568F"/>
    <w:rsid w:val="00475B1A"/>
    <w:rsid w:val="004774E3"/>
    <w:rsid w:val="00477D3C"/>
    <w:rsid w:val="00477EA4"/>
    <w:rsid w:val="00482A2E"/>
    <w:rsid w:val="0048346E"/>
    <w:rsid w:val="004852ED"/>
    <w:rsid w:val="00485BFA"/>
    <w:rsid w:val="00486AC1"/>
    <w:rsid w:val="004901F1"/>
    <w:rsid w:val="00491859"/>
    <w:rsid w:val="00491F07"/>
    <w:rsid w:val="004931C4"/>
    <w:rsid w:val="0049393E"/>
    <w:rsid w:val="00493A51"/>
    <w:rsid w:val="004975F1"/>
    <w:rsid w:val="004A1973"/>
    <w:rsid w:val="004A3F06"/>
    <w:rsid w:val="004A5A7C"/>
    <w:rsid w:val="004A704E"/>
    <w:rsid w:val="004B0B70"/>
    <w:rsid w:val="004B0F6B"/>
    <w:rsid w:val="004B1CCB"/>
    <w:rsid w:val="004B2184"/>
    <w:rsid w:val="004B42F5"/>
    <w:rsid w:val="004B45C5"/>
    <w:rsid w:val="004B4986"/>
    <w:rsid w:val="004B7AE4"/>
    <w:rsid w:val="004B7CEC"/>
    <w:rsid w:val="004C104B"/>
    <w:rsid w:val="004C56A9"/>
    <w:rsid w:val="004C63E4"/>
    <w:rsid w:val="004C7201"/>
    <w:rsid w:val="004C7D29"/>
    <w:rsid w:val="004D08C8"/>
    <w:rsid w:val="004D0F37"/>
    <w:rsid w:val="004D1249"/>
    <w:rsid w:val="004D1BAD"/>
    <w:rsid w:val="004D2600"/>
    <w:rsid w:val="004D2A18"/>
    <w:rsid w:val="004D45E2"/>
    <w:rsid w:val="004D670D"/>
    <w:rsid w:val="004D721C"/>
    <w:rsid w:val="004E1047"/>
    <w:rsid w:val="004E1786"/>
    <w:rsid w:val="004E1DC2"/>
    <w:rsid w:val="004E2409"/>
    <w:rsid w:val="004E291B"/>
    <w:rsid w:val="004E29B7"/>
    <w:rsid w:val="004E3719"/>
    <w:rsid w:val="004E3D76"/>
    <w:rsid w:val="004E6A4C"/>
    <w:rsid w:val="004F051D"/>
    <w:rsid w:val="004F0537"/>
    <w:rsid w:val="004F4EA2"/>
    <w:rsid w:val="004F6030"/>
    <w:rsid w:val="004F6031"/>
    <w:rsid w:val="004F60FE"/>
    <w:rsid w:val="004F6663"/>
    <w:rsid w:val="004F6DB6"/>
    <w:rsid w:val="004F7952"/>
    <w:rsid w:val="00500F22"/>
    <w:rsid w:val="00502692"/>
    <w:rsid w:val="00502994"/>
    <w:rsid w:val="00502BF3"/>
    <w:rsid w:val="005034DA"/>
    <w:rsid w:val="005051B7"/>
    <w:rsid w:val="00507C34"/>
    <w:rsid w:val="005105E4"/>
    <w:rsid w:val="0051138E"/>
    <w:rsid w:val="005125F4"/>
    <w:rsid w:val="00512D24"/>
    <w:rsid w:val="005130FF"/>
    <w:rsid w:val="00513648"/>
    <w:rsid w:val="0051489A"/>
    <w:rsid w:val="00514C0B"/>
    <w:rsid w:val="005158AE"/>
    <w:rsid w:val="0051677F"/>
    <w:rsid w:val="00517062"/>
    <w:rsid w:val="00517189"/>
    <w:rsid w:val="005209AC"/>
    <w:rsid w:val="005235DD"/>
    <w:rsid w:val="00523D02"/>
    <w:rsid w:val="005249C6"/>
    <w:rsid w:val="00524E14"/>
    <w:rsid w:val="00526210"/>
    <w:rsid w:val="0052663D"/>
    <w:rsid w:val="00526D80"/>
    <w:rsid w:val="00527B22"/>
    <w:rsid w:val="0053206C"/>
    <w:rsid w:val="00532183"/>
    <w:rsid w:val="00532C22"/>
    <w:rsid w:val="005344CF"/>
    <w:rsid w:val="0053608C"/>
    <w:rsid w:val="00543981"/>
    <w:rsid w:val="00543B64"/>
    <w:rsid w:val="00545416"/>
    <w:rsid w:val="0054578A"/>
    <w:rsid w:val="00546EE2"/>
    <w:rsid w:val="00546FCE"/>
    <w:rsid w:val="0054715D"/>
    <w:rsid w:val="005471DE"/>
    <w:rsid w:val="00550665"/>
    <w:rsid w:val="00550830"/>
    <w:rsid w:val="005518AE"/>
    <w:rsid w:val="00551B8C"/>
    <w:rsid w:val="00552400"/>
    <w:rsid w:val="00553297"/>
    <w:rsid w:val="00553DA6"/>
    <w:rsid w:val="00556334"/>
    <w:rsid w:val="00556A53"/>
    <w:rsid w:val="0056375E"/>
    <w:rsid w:val="00564ED2"/>
    <w:rsid w:val="00565198"/>
    <w:rsid w:val="00565F8C"/>
    <w:rsid w:val="005678AA"/>
    <w:rsid w:val="005710BC"/>
    <w:rsid w:val="00571248"/>
    <w:rsid w:val="0057354E"/>
    <w:rsid w:val="00573713"/>
    <w:rsid w:val="00575E7B"/>
    <w:rsid w:val="00576BE1"/>
    <w:rsid w:val="00577161"/>
    <w:rsid w:val="00577DF7"/>
    <w:rsid w:val="005818FB"/>
    <w:rsid w:val="00586584"/>
    <w:rsid w:val="00586DBC"/>
    <w:rsid w:val="00587161"/>
    <w:rsid w:val="00587561"/>
    <w:rsid w:val="00590B74"/>
    <w:rsid w:val="0059196A"/>
    <w:rsid w:val="00593170"/>
    <w:rsid w:val="005932A3"/>
    <w:rsid w:val="00594630"/>
    <w:rsid w:val="00594664"/>
    <w:rsid w:val="00594F48"/>
    <w:rsid w:val="00596E55"/>
    <w:rsid w:val="00597636"/>
    <w:rsid w:val="00597F53"/>
    <w:rsid w:val="005A0FD8"/>
    <w:rsid w:val="005A12CC"/>
    <w:rsid w:val="005A187E"/>
    <w:rsid w:val="005A1BE0"/>
    <w:rsid w:val="005A1E15"/>
    <w:rsid w:val="005A1E3B"/>
    <w:rsid w:val="005A2560"/>
    <w:rsid w:val="005A2973"/>
    <w:rsid w:val="005A29BA"/>
    <w:rsid w:val="005A2A5C"/>
    <w:rsid w:val="005A2BA5"/>
    <w:rsid w:val="005A2F4D"/>
    <w:rsid w:val="005A4BEC"/>
    <w:rsid w:val="005A77B3"/>
    <w:rsid w:val="005A789B"/>
    <w:rsid w:val="005A79B1"/>
    <w:rsid w:val="005B0FD8"/>
    <w:rsid w:val="005B47A0"/>
    <w:rsid w:val="005B60B5"/>
    <w:rsid w:val="005C0199"/>
    <w:rsid w:val="005C3B13"/>
    <w:rsid w:val="005C43C9"/>
    <w:rsid w:val="005C713D"/>
    <w:rsid w:val="005C7581"/>
    <w:rsid w:val="005D379E"/>
    <w:rsid w:val="005D3C70"/>
    <w:rsid w:val="005D58CA"/>
    <w:rsid w:val="005D615B"/>
    <w:rsid w:val="005D76C1"/>
    <w:rsid w:val="005E0E7F"/>
    <w:rsid w:val="005E1599"/>
    <w:rsid w:val="005E1E52"/>
    <w:rsid w:val="005E27A9"/>
    <w:rsid w:val="005E2E0B"/>
    <w:rsid w:val="005E3B2C"/>
    <w:rsid w:val="005E50ED"/>
    <w:rsid w:val="005E5AFF"/>
    <w:rsid w:val="005E5F96"/>
    <w:rsid w:val="005F004F"/>
    <w:rsid w:val="005F224D"/>
    <w:rsid w:val="005F23A0"/>
    <w:rsid w:val="005F26D3"/>
    <w:rsid w:val="005F4044"/>
    <w:rsid w:val="005F499A"/>
    <w:rsid w:val="005F5167"/>
    <w:rsid w:val="005F58CB"/>
    <w:rsid w:val="005F71A8"/>
    <w:rsid w:val="005F74D4"/>
    <w:rsid w:val="00600391"/>
    <w:rsid w:val="006003AE"/>
    <w:rsid w:val="00600409"/>
    <w:rsid w:val="00600AB0"/>
    <w:rsid w:val="00600B03"/>
    <w:rsid w:val="00600E8F"/>
    <w:rsid w:val="00601ECE"/>
    <w:rsid w:val="00602504"/>
    <w:rsid w:val="00604A58"/>
    <w:rsid w:val="0060584D"/>
    <w:rsid w:val="00605C56"/>
    <w:rsid w:val="00605FDF"/>
    <w:rsid w:val="006077A3"/>
    <w:rsid w:val="006077DB"/>
    <w:rsid w:val="006078FA"/>
    <w:rsid w:val="00610028"/>
    <w:rsid w:val="006102E5"/>
    <w:rsid w:val="006116D5"/>
    <w:rsid w:val="006120E3"/>
    <w:rsid w:val="006150CF"/>
    <w:rsid w:val="00615BCC"/>
    <w:rsid w:val="006165DB"/>
    <w:rsid w:val="00616958"/>
    <w:rsid w:val="0062078A"/>
    <w:rsid w:val="00620AD4"/>
    <w:rsid w:val="00620B9B"/>
    <w:rsid w:val="00620DAD"/>
    <w:rsid w:val="00622E4A"/>
    <w:rsid w:val="006242CE"/>
    <w:rsid w:val="00624DAD"/>
    <w:rsid w:val="006252C6"/>
    <w:rsid w:val="00625EE1"/>
    <w:rsid w:val="00625EE7"/>
    <w:rsid w:val="006260FD"/>
    <w:rsid w:val="0062648E"/>
    <w:rsid w:val="006276E3"/>
    <w:rsid w:val="00630AC2"/>
    <w:rsid w:val="00631F43"/>
    <w:rsid w:val="00633D2D"/>
    <w:rsid w:val="006344CA"/>
    <w:rsid w:val="0064056D"/>
    <w:rsid w:val="006414EB"/>
    <w:rsid w:val="00642A27"/>
    <w:rsid w:val="00642EF5"/>
    <w:rsid w:val="006435D0"/>
    <w:rsid w:val="00644671"/>
    <w:rsid w:val="00645F77"/>
    <w:rsid w:val="00646FD9"/>
    <w:rsid w:val="0064700E"/>
    <w:rsid w:val="00647447"/>
    <w:rsid w:val="00653AF1"/>
    <w:rsid w:val="00654827"/>
    <w:rsid w:val="00655F91"/>
    <w:rsid w:val="00661BC6"/>
    <w:rsid w:val="006634FB"/>
    <w:rsid w:val="00664B02"/>
    <w:rsid w:val="006655B8"/>
    <w:rsid w:val="00665BA9"/>
    <w:rsid w:val="006701BB"/>
    <w:rsid w:val="00670A38"/>
    <w:rsid w:val="00670ACB"/>
    <w:rsid w:val="00670DC0"/>
    <w:rsid w:val="00672E16"/>
    <w:rsid w:val="00673162"/>
    <w:rsid w:val="006731D6"/>
    <w:rsid w:val="0067351B"/>
    <w:rsid w:val="00673A05"/>
    <w:rsid w:val="00673C0F"/>
    <w:rsid w:val="00674BA2"/>
    <w:rsid w:val="00681A9E"/>
    <w:rsid w:val="00681F95"/>
    <w:rsid w:val="00682FC6"/>
    <w:rsid w:val="006830C0"/>
    <w:rsid w:val="00683572"/>
    <w:rsid w:val="006841BB"/>
    <w:rsid w:val="006844E4"/>
    <w:rsid w:val="006857FA"/>
    <w:rsid w:val="00685986"/>
    <w:rsid w:val="0068769B"/>
    <w:rsid w:val="006916BE"/>
    <w:rsid w:val="006923AC"/>
    <w:rsid w:val="00692C61"/>
    <w:rsid w:val="0069370F"/>
    <w:rsid w:val="00695874"/>
    <w:rsid w:val="00696CAB"/>
    <w:rsid w:val="00696E65"/>
    <w:rsid w:val="006970CE"/>
    <w:rsid w:val="006972FD"/>
    <w:rsid w:val="0069748F"/>
    <w:rsid w:val="006A27F8"/>
    <w:rsid w:val="006A3103"/>
    <w:rsid w:val="006A3505"/>
    <w:rsid w:val="006A64DE"/>
    <w:rsid w:val="006A7A34"/>
    <w:rsid w:val="006B04F6"/>
    <w:rsid w:val="006B1FDD"/>
    <w:rsid w:val="006B471E"/>
    <w:rsid w:val="006B575D"/>
    <w:rsid w:val="006B6333"/>
    <w:rsid w:val="006C1E58"/>
    <w:rsid w:val="006C541D"/>
    <w:rsid w:val="006C5C43"/>
    <w:rsid w:val="006C6648"/>
    <w:rsid w:val="006C7994"/>
    <w:rsid w:val="006D1822"/>
    <w:rsid w:val="006D190B"/>
    <w:rsid w:val="006D475E"/>
    <w:rsid w:val="006D6D8F"/>
    <w:rsid w:val="006D7DC7"/>
    <w:rsid w:val="006E1154"/>
    <w:rsid w:val="006E4AE1"/>
    <w:rsid w:val="006E4FFF"/>
    <w:rsid w:val="006E5545"/>
    <w:rsid w:val="006E67D8"/>
    <w:rsid w:val="006E7904"/>
    <w:rsid w:val="006F09C9"/>
    <w:rsid w:val="006F2033"/>
    <w:rsid w:val="006F290A"/>
    <w:rsid w:val="006F2A01"/>
    <w:rsid w:val="006F43DD"/>
    <w:rsid w:val="006F4428"/>
    <w:rsid w:val="006F5BD2"/>
    <w:rsid w:val="006F5DAD"/>
    <w:rsid w:val="006F626D"/>
    <w:rsid w:val="007003D2"/>
    <w:rsid w:val="0070181A"/>
    <w:rsid w:val="007018D5"/>
    <w:rsid w:val="00701BB6"/>
    <w:rsid w:val="0070347A"/>
    <w:rsid w:val="00703CE9"/>
    <w:rsid w:val="00704076"/>
    <w:rsid w:val="007050A7"/>
    <w:rsid w:val="007050D8"/>
    <w:rsid w:val="00705D61"/>
    <w:rsid w:val="007069A3"/>
    <w:rsid w:val="00710C9E"/>
    <w:rsid w:val="007120CE"/>
    <w:rsid w:val="00712887"/>
    <w:rsid w:val="00712C49"/>
    <w:rsid w:val="00714D91"/>
    <w:rsid w:val="00714E40"/>
    <w:rsid w:val="00715C8B"/>
    <w:rsid w:val="00717EC3"/>
    <w:rsid w:val="00720801"/>
    <w:rsid w:val="00720F9D"/>
    <w:rsid w:val="007222D9"/>
    <w:rsid w:val="00722575"/>
    <w:rsid w:val="00723EEC"/>
    <w:rsid w:val="007240CA"/>
    <w:rsid w:val="0072477C"/>
    <w:rsid w:val="00724D2E"/>
    <w:rsid w:val="00724F7D"/>
    <w:rsid w:val="00725750"/>
    <w:rsid w:val="00725E56"/>
    <w:rsid w:val="007262F9"/>
    <w:rsid w:val="0072726E"/>
    <w:rsid w:val="007275C0"/>
    <w:rsid w:val="00727941"/>
    <w:rsid w:val="00730EF6"/>
    <w:rsid w:val="007336AA"/>
    <w:rsid w:val="007339FD"/>
    <w:rsid w:val="00735217"/>
    <w:rsid w:val="00735C19"/>
    <w:rsid w:val="00736099"/>
    <w:rsid w:val="00736FE5"/>
    <w:rsid w:val="0073703F"/>
    <w:rsid w:val="0073756E"/>
    <w:rsid w:val="007400F1"/>
    <w:rsid w:val="00741C9E"/>
    <w:rsid w:val="00742AFE"/>
    <w:rsid w:val="007436E6"/>
    <w:rsid w:val="007447F3"/>
    <w:rsid w:val="00745424"/>
    <w:rsid w:val="00746067"/>
    <w:rsid w:val="00747EB1"/>
    <w:rsid w:val="007502D5"/>
    <w:rsid w:val="00750F6A"/>
    <w:rsid w:val="00752012"/>
    <w:rsid w:val="00752959"/>
    <w:rsid w:val="00753A60"/>
    <w:rsid w:val="0075439F"/>
    <w:rsid w:val="00755CA8"/>
    <w:rsid w:val="00755FB8"/>
    <w:rsid w:val="00756BA1"/>
    <w:rsid w:val="007601D2"/>
    <w:rsid w:val="007605FA"/>
    <w:rsid w:val="00761357"/>
    <w:rsid w:val="0076324E"/>
    <w:rsid w:val="007639CA"/>
    <w:rsid w:val="00763AFC"/>
    <w:rsid w:val="00763F21"/>
    <w:rsid w:val="00764B47"/>
    <w:rsid w:val="007664F3"/>
    <w:rsid w:val="00766CA9"/>
    <w:rsid w:val="00766DAB"/>
    <w:rsid w:val="00767457"/>
    <w:rsid w:val="007677BB"/>
    <w:rsid w:val="0077162B"/>
    <w:rsid w:val="0077459D"/>
    <w:rsid w:val="0077602A"/>
    <w:rsid w:val="007819D0"/>
    <w:rsid w:val="00783979"/>
    <w:rsid w:val="00783BDC"/>
    <w:rsid w:val="007854A6"/>
    <w:rsid w:val="00786D24"/>
    <w:rsid w:val="007928FE"/>
    <w:rsid w:val="00792E1B"/>
    <w:rsid w:val="007940EA"/>
    <w:rsid w:val="00796583"/>
    <w:rsid w:val="00797446"/>
    <w:rsid w:val="007A01F7"/>
    <w:rsid w:val="007A1929"/>
    <w:rsid w:val="007A1AFD"/>
    <w:rsid w:val="007A2737"/>
    <w:rsid w:val="007A2764"/>
    <w:rsid w:val="007A4A10"/>
    <w:rsid w:val="007A5732"/>
    <w:rsid w:val="007A7D66"/>
    <w:rsid w:val="007B003D"/>
    <w:rsid w:val="007B00A9"/>
    <w:rsid w:val="007B0A5A"/>
    <w:rsid w:val="007B179F"/>
    <w:rsid w:val="007B1D88"/>
    <w:rsid w:val="007B1E32"/>
    <w:rsid w:val="007B2678"/>
    <w:rsid w:val="007B36A0"/>
    <w:rsid w:val="007B36E3"/>
    <w:rsid w:val="007B447E"/>
    <w:rsid w:val="007C10AB"/>
    <w:rsid w:val="007C2BB0"/>
    <w:rsid w:val="007C49FB"/>
    <w:rsid w:val="007C72C7"/>
    <w:rsid w:val="007C74AC"/>
    <w:rsid w:val="007C7849"/>
    <w:rsid w:val="007D0094"/>
    <w:rsid w:val="007D2273"/>
    <w:rsid w:val="007D2F8C"/>
    <w:rsid w:val="007D4655"/>
    <w:rsid w:val="007D536A"/>
    <w:rsid w:val="007D57C6"/>
    <w:rsid w:val="007D5F0C"/>
    <w:rsid w:val="007D64E5"/>
    <w:rsid w:val="007E0215"/>
    <w:rsid w:val="007E0891"/>
    <w:rsid w:val="007E0C4D"/>
    <w:rsid w:val="007E0F06"/>
    <w:rsid w:val="007E180F"/>
    <w:rsid w:val="007E2F00"/>
    <w:rsid w:val="007E3F4B"/>
    <w:rsid w:val="007E52F3"/>
    <w:rsid w:val="007E7CF1"/>
    <w:rsid w:val="007E7F1B"/>
    <w:rsid w:val="007F011A"/>
    <w:rsid w:val="007F0C62"/>
    <w:rsid w:val="007F3101"/>
    <w:rsid w:val="007F3235"/>
    <w:rsid w:val="007F3638"/>
    <w:rsid w:val="007F430E"/>
    <w:rsid w:val="007F4691"/>
    <w:rsid w:val="007F5406"/>
    <w:rsid w:val="007F556E"/>
    <w:rsid w:val="007F6CDF"/>
    <w:rsid w:val="007F74EA"/>
    <w:rsid w:val="008014A4"/>
    <w:rsid w:val="0080252C"/>
    <w:rsid w:val="00803322"/>
    <w:rsid w:val="00803564"/>
    <w:rsid w:val="00803746"/>
    <w:rsid w:val="008059D1"/>
    <w:rsid w:val="00806CEF"/>
    <w:rsid w:val="00806D9F"/>
    <w:rsid w:val="00806DFD"/>
    <w:rsid w:val="008106E6"/>
    <w:rsid w:val="00814720"/>
    <w:rsid w:val="00814C25"/>
    <w:rsid w:val="00815166"/>
    <w:rsid w:val="00815B28"/>
    <w:rsid w:val="00816812"/>
    <w:rsid w:val="00816D23"/>
    <w:rsid w:val="008206DC"/>
    <w:rsid w:val="00821CFE"/>
    <w:rsid w:val="00823602"/>
    <w:rsid w:val="00823B6C"/>
    <w:rsid w:val="00823D23"/>
    <w:rsid w:val="00825000"/>
    <w:rsid w:val="00825513"/>
    <w:rsid w:val="0082630B"/>
    <w:rsid w:val="00826AB4"/>
    <w:rsid w:val="008276A1"/>
    <w:rsid w:val="00827774"/>
    <w:rsid w:val="0082789F"/>
    <w:rsid w:val="00827963"/>
    <w:rsid w:val="00827EB4"/>
    <w:rsid w:val="008300CC"/>
    <w:rsid w:val="00831EB1"/>
    <w:rsid w:val="00833925"/>
    <w:rsid w:val="00833F61"/>
    <w:rsid w:val="00834069"/>
    <w:rsid w:val="00835128"/>
    <w:rsid w:val="00836EB7"/>
    <w:rsid w:val="00840F46"/>
    <w:rsid w:val="008423B5"/>
    <w:rsid w:val="00843768"/>
    <w:rsid w:val="008442FE"/>
    <w:rsid w:val="008450FF"/>
    <w:rsid w:val="00845B87"/>
    <w:rsid w:val="008462B4"/>
    <w:rsid w:val="0084668F"/>
    <w:rsid w:val="008472B4"/>
    <w:rsid w:val="0084769B"/>
    <w:rsid w:val="008501B1"/>
    <w:rsid w:val="008509E9"/>
    <w:rsid w:val="00850C74"/>
    <w:rsid w:val="0085142E"/>
    <w:rsid w:val="00851F2C"/>
    <w:rsid w:val="008528EC"/>
    <w:rsid w:val="0085391E"/>
    <w:rsid w:val="00853B9B"/>
    <w:rsid w:val="00853E28"/>
    <w:rsid w:val="00855313"/>
    <w:rsid w:val="00856D12"/>
    <w:rsid w:val="00856E5F"/>
    <w:rsid w:val="008571A6"/>
    <w:rsid w:val="00857912"/>
    <w:rsid w:val="00857C4D"/>
    <w:rsid w:val="00857C52"/>
    <w:rsid w:val="00857EF0"/>
    <w:rsid w:val="008601F2"/>
    <w:rsid w:val="00860725"/>
    <w:rsid w:val="00860859"/>
    <w:rsid w:val="00861592"/>
    <w:rsid w:val="00863FB0"/>
    <w:rsid w:val="008642E3"/>
    <w:rsid w:val="00864F14"/>
    <w:rsid w:val="00866F2D"/>
    <w:rsid w:val="008670D2"/>
    <w:rsid w:val="00867663"/>
    <w:rsid w:val="0087207A"/>
    <w:rsid w:val="008721DB"/>
    <w:rsid w:val="008725B2"/>
    <w:rsid w:val="008742A6"/>
    <w:rsid w:val="00875397"/>
    <w:rsid w:val="00875C4D"/>
    <w:rsid w:val="00875E60"/>
    <w:rsid w:val="0087746A"/>
    <w:rsid w:val="0088046A"/>
    <w:rsid w:val="0088093D"/>
    <w:rsid w:val="00881A14"/>
    <w:rsid w:val="008828DA"/>
    <w:rsid w:val="00882A0C"/>
    <w:rsid w:val="008830F8"/>
    <w:rsid w:val="008855D6"/>
    <w:rsid w:val="00886893"/>
    <w:rsid w:val="008869E9"/>
    <w:rsid w:val="00890474"/>
    <w:rsid w:val="00891C86"/>
    <w:rsid w:val="00892DBF"/>
    <w:rsid w:val="008948A0"/>
    <w:rsid w:val="00894CA3"/>
    <w:rsid w:val="0089548F"/>
    <w:rsid w:val="008958B6"/>
    <w:rsid w:val="00895FE6"/>
    <w:rsid w:val="00897F33"/>
    <w:rsid w:val="008A0B69"/>
    <w:rsid w:val="008A32C4"/>
    <w:rsid w:val="008A3478"/>
    <w:rsid w:val="008A3495"/>
    <w:rsid w:val="008A4077"/>
    <w:rsid w:val="008A4A26"/>
    <w:rsid w:val="008A558A"/>
    <w:rsid w:val="008A68D1"/>
    <w:rsid w:val="008A73DD"/>
    <w:rsid w:val="008B2FCC"/>
    <w:rsid w:val="008B390B"/>
    <w:rsid w:val="008B3EAA"/>
    <w:rsid w:val="008B6348"/>
    <w:rsid w:val="008B6B3E"/>
    <w:rsid w:val="008B7C67"/>
    <w:rsid w:val="008C11A0"/>
    <w:rsid w:val="008C1348"/>
    <w:rsid w:val="008C1E1B"/>
    <w:rsid w:val="008C362D"/>
    <w:rsid w:val="008C3B75"/>
    <w:rsid w:val="008C3FE8"/>
    <w:rsid w:val="008C57AF"/>
    <w:rsid w:val="008C60B4"/>
    <w:rsid w:val="008C77A3"/>
    <w:rsid w:val="008D02E5"/>
    <w:rsid w:val="008D06FC"/>
    <w:rsid w:val="008D13CF"/>
    <w:rsid w:val="008D3085"/>
    <w:rsid w:val="008D3B08"/>
    <w:rsid w:val="008D3C0F"/>
    <w:rsid w:val="008D42B3"/>
    <w:rsid w:val="008D62D8"/>
    <w:rsid w:val="008D6751"/>
    <w:rsid w:val="008D6BE5"/>
    <w:rsid w:val="008D73DE"/>
    <w:rsid w:val="008E10A0"/>
    <w:rsid w:val="008E11F7"/>
    <w:rsid w:val="008E1FF5"/>
    <w:rsid w:val="008E28AE"/>
    <w:rsid w:val="008E2E54"/>
    <w:rsid w:val="008E5F80"/>
    <w:rsid w:val="008E6AA9"/>
    <w:rsid w:val="008E6ABD"/>
    <w:rsid w:val="008F13B8"/>
    <w:rsid w:val="008F167C"/>
    <w:rsid w:val="008F1774"/>
    <w:rsid w:val="008F22B5"/>
    <w:rsid w:val="008F32AF"/>
    <w:rsid w:val="008F3CBB"/>
    <w:rsid w:val="008F4E09"/>
    <w:rsid w:val="008F555D"/>
    <w:rsid w:val="008F55DA"/>
    <w:rsid w:val="008F6993"/>
    <w:rsid w:val="008F7A99"/>
    <w:rsid w:val="008F7D76"/>
    <w:rsid w:val="00900181"/>
    <w:rsid w:val="0090090B"/>
    <w:rsid w:val="00902EE3"/>
    <w:rsid w:val="0090547E"/>
    <w:rsid w:val="009069FF"/>
    <w:rsid w:val="00906CD1"/>
    <w:rsid w:val="00907A15"/>
    <w:rsid w:val="009104FC"/>
    <w:rsid w:val="009111F4"/>
    <w:rsid w:val="009118DB"/>
    <w:rsid w:val="00914728"/>
    <w:rsid w:val="00914AD7"/>
    <w:rsid w:val="00914B6A"/>
    <w:rsid w:val="00921F97"/>
    <w:rsid w:val="009257C9"/>
    <w:rsid w:val="00927EA1"/>
    <w:rsid w:val="00930A13"/>
    <w:rsid w:val="009326D4"/>
    <w:rsid w:val="00932866"/>
    <w:rsid w:val="0093314C"/>
    <w:rsid w:val="009339DD"/>
    <w:rsid w:val="0093414D"/>
    <w:rsid w:val="00935EEF"/>
    <w:rsid w:val="00937BDC"/>
    <w:rsid w:val="00940284"/>
    <w:rsid w:val="0094039C"/>
    <w:rsid w:val="0094048B"/>
    <w:rsid w:val="00941FF0"/>
    <w:rsid w:val="00942290"/>
    <w:rsid w:val="00944273"/>
    <w:rsid w:val="00944D1E"/>
    <w:rsid w:val="00944DB2"/>
    <w:rsid w:val="00945BC6"/>
    <w:rsid w:val="00945CB7"/>
    <w:rsid w:val="009463DD"/>
    <w:rsid w:val="00946B87"/>
    <w:rsid w:val="00947B88"/>
    <w:rsid w:val="00950DFD"/>
    <w:rsid w:val="009515D5"/>
    <w:rsid w:val="0095229C"/>
    <w:rsid w:val="00952476"/>
    <w:rsid w:val="00952A17"/>
    <w:rsid w:val="00953ECD"/>
    <w:rsid w:val="00954153"/>
    <w:rsid w:val="0095526C"/>
    <w:rsid w:val="009567BE"/>
    <w:rsid w:val="00956A68"/>
    <w:rsid w:val="00956BB4"/>
    <w:rsid w:val="00956C34"/>
    <w:rsid w:val="00956D4A"/>
    <w:rsid w:val="00957921"/>
    <w:rsid w:val="00957BC6"/>
    <w:rsid w:val="009603CB"/>
    <w:rsid w:val="00961E2D"/>
    <w:rsid w:val="009624A4"/>
    <w:rsid w:val="00963F7B"/>
    <w:rsid w:val="009641AE"/>
    <w:rsid w:val="00964ECF"/>
    <w:rsid w:val="0096558B"/>
    <w:rsid w:val="00967D4D"/>
    <w:rsid w:val="009701F1"/>
    <w:rsid w:val="0097071E"/>
    <w:rsid w:val="00970B19"/>
    <w:rsid w:val="00971B2C"/>
    <w:rsid w:val="0097237E"/>
    <w:rsid w:val="00972C76"/>
    <w:rsid w:val="00973C8C"/>
    <w:rsid w:val="009742CC"/>
    <w:rsid w:val="00974A3B"/>
    <w:rsid w:val="00974AAD"/>
    <w:rsid w:val="00974E5F"/>
    <w:rsid w:val="00974F2B"/>
    <w:rsid w:val="00981FB8"/>
    <w:rsid w:val="00982842"/>
    <w:rsid w:val="0098664A"/>
    <w:rsid w:val="00986F9E"/>
    <w:rsid w:val="00987534"/>
    <w:rsid w:val="009914F9"/>
    <w:rsid w:val="00991EA4"/>
    <w:rsid w:val="00992730"/>
    <w:rsid w:val="009929AF"/>
    <w:rsid w:val="00993FBC"/>
    <w:rsid w:val="0099528F"/>
    <w:rsid w:val="009967A5"/>
    <w:rsid w:val="009968DA"/>
    <w:rsid w:val="00996C2D"/>
    <w:rsid w:val="009972E9"/>
    <w:rsid w:val="00997B2E"/>
    <w:rsid w:val="009A2C8D"/>
    <w:rsid w:val="009A36D4"/>
    <w:rsid w:val="009A673E"/>
    <w:rsid w:val="009A6B97"/>
    <w:rsid w:val="009A72EA"/>
    <w:rsid w:val="009A7710"/>
    <w:rsid w:val="009A7759"/>
    <w:rsid w:val="009A7829"/>
    <w:rsid w:val="009B0243"/>
    <w:rsid w:val="009B0E96"/>
    <w:rsid w:val="009B2E3C"/>
    <w:rsid w:val="009B486D"/>
    <w:rsid w:val="009B5B68"/>
    <w:rsid w:val="009B6536"/>
    <w:rsid w:val="009B6CE7"/>
    <w:rsid w:val="009B715D"/>
    <w:rsid w:val="009B7368"/>
    <w:rsid w:val="009B7A07"/>
    <w:rsid w:val="009C03D6"/>
    <w:rsid w:val="009C0874"/>
    <w:rsid w:val="009C113D"/>
    <w:rsid w:val="009C2488"/>
    <w:rsid w:val="009C2D51"/>
    <w:rsid w:val="009C45DA"/>
    <w:rsid w:val="009C59D5"/>
    <w:rsid w:val="009C64EC"/>
    <w:rsid w:val="009C72DB"/>
    <w:rsid w:val="009D0154"/>
    <w:rsid w:val="009D0A70"/>
    <w:rsid w:val="009D0D0C"/>
    <w:rsid w:val="009D15C7"/>
    <w:rsid w:val="009D1C47"/>
    <w:rsid w:val="009D1D66"/>
    <w:rsid w:val="009D309A"/>
    <w:rsid w:val="009D38D7"/>
    <w:rsid w:val="009D4567"/>
    <w:rsid w:val="009E192B"/>
    <w:rsid w:val="009E3976"/>
    <w:rsid w:val="009E4051"/>
    <w:rsid w:val="009E44B4"/>
    <w:rsid w:val="009E4922"/>
    <w:rsid w:val="009E6029"/>
    <w:rsid w:val="009E6AC0"/>
    <w:rsid w:val="009F00B8"/>
    <w:rsid w:val="009F1034"/>
    <w:rsid w:val="009F20DF"/>
    <w:rsid w:val="009F26C1"/>
    <w:rsid w:val="009F447C"/>
    <w:rsid w:val="009F49B4"/>
    <w:rsid w:val="009F6AD6"/>
    <w:rsid w:val="009F732D"/>
    <w:rsid w:val="009F7BDD"/>
    <w:rsid w:val="00A0188D"/>
    <w:rsid w:val="00A02480"/>
    <w:rsid w:val="00A02F54"/>
    <w:rsid w:val="00A06A9A"/>
    <w:rsid w:val="00A06BB8"/>
    <w:rsid w:val="00A104E0"/>
    <w:rsid w:val="00A1123B"/>
    <w:rsid w:val="00A11403"/>
    <w:rsid w:val="00A12588"/>
    <w:rsid w:val="00A13047"/>
    <w:rsid w:val="00A17A40"/>
    <w:rsid w:val="00A2181B"/>
    <w:rsid w:val="00A22428"/>
    <w:rsid w:val="00A22F44"/>
    <w:rsid w:val="00A2380D"/>
    <w:rsid w:val="00A24539"/>
    <w:rsid w:val="00A26E22"/>
    <w:rsid w:val="00A27C8B"/>
    <w:rsid w:val="00A27CB4"/>
    <w:rsid w:val="00A304F8"/>
    <w:rsid w:val="00A32F8F"/>
    <w:rsid w:val="00A3410C"/>
    <w:rsid w:val="00A3587F"/>
    <w:rsid w:val="00A35F8A"/>
    <w:rsid w:val="00A36561"/>
    <w:rsid w:val="00A37069"/>
    <w:rsid w:val="00A37E23"/>
    <w:rsid w:val="00A4039C"/>
    <w:rsid w:val="00A40F82"/>
    <w:rsid w:val="00A4226F"/>
    <w:rsid w:val="00A4298B"/>
    <w:rsid w:val="00A43A42"/>
    <w:rsid w:val="00A43B1C"/>
    <w:rsid w:val="00A4410E"/>
    <w:rsid w:val="00A44BFA"/>
    <w:rsid w:val="00A44C0E"/>
    <w:rsid w:val="00A46122"/>
    <w:rsid w:val="00A468E5"/>
    <w:rsid w:val="00A46A7F"/>
    <w:rsid w:val="00A47331"/>
    <w:rsid w:val="00A47708"/>
    <w:rsid w:val="00A51467"/>
    <w:rsid w:val="00A521B9"/>
    <w:rsid w:val="00A53633"/>
    <w:rsid w:val="00A536E9"/>
    <w:rsid w:val="00A557A1"/>
    <w:rsid w:val="00A55BD0"/>
    <w:rsid w:val="00A564EE"/>
    <w:rsid w:val="00A60B1E"/>
    <w:rsid w:val="00A61D4A"/>
    <w:rsid w:val="00A62716"/>
    <w:rsid w:val="00A64463"/>
    <w:rsid w:val="00A65E66"/>
    <w:rsid w:val="00A66414"/>
    <w:rsid w:val="00A6661F"/>
    <w:rsid w:val="00A67C0C"/>
    <w:rsid w:val="00A70471"/>
    <w:rsid w:val="00A70E09"/>
    <w:rsid w:val="00A7144C"/>
    <w:rsid w:val="00A72085"/>
    <w:rsid w:val="00A72F1C"/>
    <w:rsid w:val="00A7380C"/>
    <w:rsid w:val="00A739F0"/>
    <w:rsid w:val="00A7431B"/>
    <w:rsid w:val="00A75BC6"/>
    <w:rsid w:val="00A77B99"/>
    <w:rsid w:val="00A77BCF"/>
    <w:rsid w:val="00A80100"/>
    <w:rsid w:val="00A80437"/>
    <w:rsid w:val="00A8179C"/>
    <w:rsid w:val="00A8223F"/>
    <w:rsid w:val="00A84128"/>
    <w:rsid w:val="00A848BA"/>
    <w:rsid w:val="00A849A4"/>
    <w:rsid w:val="00A84D9C"/>
    <w:rsid w:val="00A862EE"/>
    <w:rsid w:val="00A90B46"/>
    <w:rsid w:val="00A91103"/>
    <w:rsid w:val="00A91691"/>
    <w:rsid w:val="00A917C4"/>
    <w:rsid w:val="00A9290D"/>
    <w:rsid w:val="00A9293C"/>
    <w:rsid w:val="00A92D14"/>
    <w:rsid w:val="00A93453"/>
    <w:rsid w:val="00A9443A"/>
    <w:rsid w:val="00A94629"/>
    <w:rsid w:val="00A94D0D"/>
    <w:rsid w:val="00A952E3"/>
    <w:rsid w:val="00A96FA4"/>
    <w:rsid w:val="00A9702B"/>
    <w:rsid w:val="00A978A8"/>
    <w:rsid w:val="00AA069A"/>
    <w:rsid w:val="00AA16CC"/>
    <w:rsid w:val="00AA1AEA"/>
    <w:rsid w:val="00AA2A62"/>
    <w:rsid w:val="00AA2FB8"/>
    <w:rsid w:val="00AA48ED"/>
    <w:rsid w:val="00AA58E0"/>
    <w:rsid w:val="00AA65DD"/>
    <w:rsid w:val="00AA66E5"/>
    <w:rsid w:val="00AA70EC"/>
    <w:rsid w:val="00AA73CA"/>
    <w:rsid w:val="00AA74E3"/>
    <w:rsid w:val="00AB1303"/>
    <w:rsid w:val="00AB2105"/>
    <w:rsid w:val="00AB2C22"/>
    <w:rsid w:val="00AB330B"/>
    <w:rsid w:val="00AB5D56"/>
    <w:rsid w:val="00AB7CB1"/>
    <w:rsid w:val="00AC0517"/>
    <w:rsid w:val="00AC09C8"/>
    <w:rsid w:val="00AC15E4"/>
    <w:rsid w:val="00AC160A"/>
    <w:rsid w:val="00AC2A90"/>
    <w:rsid w:val="00AC2D98"/>
    <w:rsid w:val="00AC3003"/>
    <w:rsid w:val="00AC32A6"/>
    <w:rsid w:val="00AC3BC6"/>
    <w:rsid w:val="00AC4E51"/>
    <w:rsid w:val="00AC5042"/>
    <w:rsid w:val="00AC5207"/>
    <w:rsid w:val="00AC6ACB"/>
    <w:rsid w:val="00AC744B"/>
    <w:rsid w:val="00AC7E87"/>
    <w:rsid w:val="00AD15CB"/>
    <w:rsid w:val="00AD1A40"/>
    <w:rsid w:val="00AD1B56"/>
    <w:rsid w:val="00AD2888"/>
    <w:rsid w:val="00AD2AA1"/>
    <w:rsid w:val="00AD4C71"/>
    <w:rsid w:val="00AD5A95"/>
    <w:rsid w:val="00AD6414"/>
    <w:rsid w:val="00AD6D13"/>
    <w:rsid w:val="00AD751C"/>
    <w:rsid w:val="00AD7633"/>
    <w:rsid w:val="00AD7E8A"/>
    <w:rsid w:val="00AE172B"/>
    <w:rsid w:val="00AE1A4E"/>
    <w:rsid w:val="00AE1B4C"/>
    <w:rsid w:val="00AE1B9E"/>
    <w:rsid w:val="00AE1CF5"/>
    <w:rsid w:val="00AE1E27"/>
    <w:rsid w:val="00AE20B0"/>
    <w:rsid w:val="00AE27CE"/>
    <w:rsid w:val="00AE29B9"/>
    <w:rsid w:val="00AE3583"/>
    <w:rsid w:val="00AE3A49"/>
    <w:rsid w:val="00AE5F4B"/>
    <w:rsid w:val="00AE678C"/>
    <w:rsid w:val="00AE71B4"/>
    <w:rsid w:val="00AE7685"/>
    <w:rsid w:val="00AF218B"/>
    <w:rsid w:val="00AF3A35"/>
    <w:rsid w:val="00AF3BF6"/>
    <w:rsid w:val="00AF3DCF"/>
    <w:rsid w:val="00AF4A03"/>
    <w:rsid w:val="00AF4B7B"/>
    <w:rsid w:val="00AF522D"/>
    <w:rsid w:val="00AF5787"/>
    <w:rsid w:val="00AF59EB"/>
    <w:rsid w:val="00AF5B9B"/>
    <w:rsid w:val="00AF6741"/>
    <w:rsid w:val="00AF695B"/>
    <w:rsid w:val="00AF74E9"/>
    <w:rsid w:val="00AF7D04"/>
    <w:rsid w:val="00B00547"/>
    <w:rsid w:val="00B00CBD"/>
    <w:rsid w:val="00B01B22"/>
    <w:rsid w:val="00B022E2"/>
    <w:rsid w:val="00B02800"/>
    <w:rsid w:val="00B0281A"/>
    <w:rsid w:val="00B03457"/>
    <w:rsid w:val="00B03AB8"/>
    <w:rsid w:val="00B04C0C"/>
    <w:rsid w:val="00B04D50"/>
    <w:rsid w:val="00B05D8B"/>
    <w:rsid w:val="00B06BDE"/>
    <w:rsid w:val="00B07345"/>
    <w:rsid w:val="00B07680"/>
    <w:rsid w:val="00B11021"/>
    <w:rsid w:val="00B1115F"/>
    <w:rsid w:val="00B11D7D"/>
    <w:rsid w:val="00B152F7"/>
    <w:rsid w:val="00B16107"/>
    <w:rsid w:val="00B166A7"/>
    <w:rsid w:val="00B17E14"/>
    <w:rsid w:val="00B204B2"/>
    <w:rsid w:val="00B20539"/>
    <w:rsid w:val="00B2239D"/>
    <w:rsid w:val="00B23534"/>
    <w:rsid w:val="00B23B58"/>
    <w:rsid w:val="00B244CE"/>
    <w:rsid w:val="00B24B4E"/>
    <w:rsid w:val="00B24B6E"/>
    <w:rsid w:val="00B251D3"/>
    <w:rsid w:val="00B25615"/>
    <w:rsid w:val="00B259C1"/>
    <w:rsid w:val="00B264EC"/>
    <w:rsid w:val="00B26602"/>
    <w:rsid w:val="00B26E0B"/>
    <w:rsid w:val="00B27405"/>
    <w:rsid w:val="00B27BCD"/>
    <w:rsid w:val="00B3059D"/>
    <w:rsid w:val="00B30AD2"/>
    <w:rsid w:val="00B31024"/>
    <w:rsid w:val="00B3142D"/>
    <w:rsid w:val="00B317C1"/>
    <w:rsid w:val="00B31A58"/>
    <w:rsid w:val="00B32024"/>
    <w:rsid w:val="00B350B4"/>
    <w:rsid w:val="00B41058"/>
    <w:rsid w:val="00B419F8"/>
    <w:rsid w:val="00B41C55"/>
    <w:rsid w:val="00B437BA"/>
    <w:rsid w:val="00B43D27"/>
    <w:rsid w:val="00B44A78"/>
    <w:rsid w:val="00B45963"/>
    <w:rsid w:val="00B469D7"/>
    <w:rsid w:val="00B5034C"/>
    <w:rsid w:val="00B50A82"/>
    <w:rsid w:val="00B51169"/>
    <w:rsid w:val="00B51F17"/>
    <w:rsid w:val="00B526BA"/>
    <w:rsid w:val="00B526C9"/>
    <w:rsid w:val="00B52758"/>
    <w:rsid w:val="00B52A6E"/>
    <w:rsid w:val="00B5447E"/>
    <w:rsid w:val="00B54AD5"/>
    <w:rsid w:val="00B558F3"/>
    <w:rsid w:val="00B56845"/>
    <w:rsid w:val="00B56FC2"/>
    <w:rsid w:val="00B60F62"/>
    <w:rsid w:val="00B61016"/>
    <w:rsid w:val="00B6139E"/>
    <w:rsid w:val="00B6161B"/>
    <w:rsid w:val="00B618C7"/>
    <w:rsid w:val="00B654B3"/>
    <w:rsid w:val="00B67B4C"/>
    <w:rsid w:val="00B67E06"/>
    <w:rsid w:val="00B70A2C"/>
    <w:rsid w:val="00B71209"/>
    <w:rsid w:val="00B716DF"/>
    <w:rsid w:val="00B71D13"/>
    <w:rsid w:val="00B73162"/>
    <w:rsid w:val="00B738CE"/>
    <w:rsid w:val="00B759F8"/>
    <w:rsid w:val="00B75BCB"/>
    <w:rsid w:val="00B761DD"/>
    <w:rsid w:val="00B77019"/>
    <w:rsid w:val="00B7795E"/>
    <w:rsid w:val="00B813FF"/>
    <w:rsid w:val="00B8230C"/>
    <w:rsid w:val="00B824B2"/>
    <w:rsid w:val="00B82C09"/>
    <w:rsid w:val="00B82D49"/>
    <w:rsid w:val="00B83AFA"/>
    <w:rsid w:val="00B83E68"/>
    <w:rsid w:val="00B84EBA"/>
    <w:rsid w:val="00B869B0"/>
    <w:rsid w:val="00B87C45"/>
    <w:rsid w:val="00B87E8E"/>
    <w:rsid w:val="00B90009"/>
    <w:rsid w:val="00B90037"/>
    <w:rsid w:val="00B90276"/>
    <w:rsid w:val="00B91094"/>
    <w:rsid w:val="00B917FB"/>
    <w:rsid w:val="00B91BC5"/>
    <w:rsid w:val="00B91F35"/>
    <w:rsid w:val="00B921DE"/>
    <w:rsid w:val="00B92639"/>
    <w:rsid w:val="00B93D9C"/>
    <w:rsid w:val="00B9452E"/>
    <w:rsid w:val="00B967C9"/>
    <w:rsid w:val="00B968AC"/>
    <w:rsid w:val="00B96CBB"/>
    <w:rsid w:val="00BA00CD"/>
    <w:rsid w:val="00BA046F"/>
    <w:rsid w:val="00BA160C"/>
    <w:rsid w:val="00BA1838"/>
    <w:rsid w:val="00BA1D3B"/>
    <w:rsid w:val="00BA2232"/>
    <w:rsid w:val="00BA383F"/>
    <w:rsid w:val="00BA4386"/>
    <w:rsid w:val="00BA4862"/>
    <w:rsid w:val="00BA4F5B"/>
    <w:rsid w:val="00BA585D"/>
    <w:rsid w:val="00BA795C"/>
    <w:rsid w:val="00BA7E64"/>
    <w:rsid w:val="00BB1959"/>
    <w:rsid w:val="00BB2694"/>
    <w:rsid w:val="00BB2F48"/>
    <w:rsid w:val="00BB3396"/>
    <w:rsid w:val="00BB3827"/>
    <w:rsid w:val="00BB3EC4"/>
    <w:rsid w:val="00BB4764"/>
    <w:rsid w:val="00BC18D6"/>
    <w:rsid w:val="00BC402F"/>
    <w:rsid w:val="00BC4D50"/>
    <w:rsid w:val="00BC58D6"/>
    <w:rsid w:val="00BC7C6F"/>
    <w:rsid w:val="00BD0085"/>
    <w:rsid w:val="00BD0B31"/>
    <w:rsid w:val="00BD1F38"/>
    <w:rsid w:val="00BD24BC"/>
    <w:rsid w:val="00BD3039"/>
    <w:rsid w:val="00BD47ED"/>
    <w:rsid w:val="00BD51ED"/>
    <w:rsid w:val="00BD5D5B"/>
    <w:rsid w:val="00BD7277"/>
    <w:rsid w:val="00BE03EA"/>
    <w:rsid w:val="00BE081B"/>
    <w:rsid w:val="00BE12F2"/>
    <w:rsid w:val="00BE16F2"/>
    <w:rsid w:val="00BE2623"/>
    <w:rsid w:val="00BE33EF"/>
    <w:rsid w:val="00BE395E"/>
    <w:rsid w:val="00BE3F8A"/>
    <w:rsid w:val="00BE4341"/>
    <w:rsid w:val="00BE499A"/>
    <w:rsid w:val="00BE50AD"/>
    <w:rsid w:val="00BE5A3E"/>
    <w:rsid w:val="00BE7393"/>
    <w:rsid w:val="00BE77D5"/>
    <w:rsid w:val="00BF091A"/>
    <w:rsid w:val="00BF0E1E"/>
    <w:rsid w:val="00BF11DC"/>
    <w:rsid w:val="00BF1367"/>
    <w:rsid w:val="00BF1653"/>
    <w:rsid w:val="00BF2757"/>
    <w:rsid w:val="00BF2CAC"/>
    <w:rsid w:val="00BF514D"/>
    <w:rsid w:val="00BF5FEF"/>
    <w:rsid w:val="00C008E7"/>
    <w:rsid w:val="00C01204"/>
    <w:rsid w:val="00C02A97"/>
    <w:rsid w:val="00C04539"/>
    <w:rsid w:val="00C05663"/>
    <w:rsid w:val="00C061F5"/>
    <w:rsid w:val="00C10EB7"/>
    <w:rsid w:val="00C11B7F"/>
    <w:rsid w:val="00C132DB"/>
    <w:rsid w:val="00C14B2D"/>
    <w:rsid w:val="00C17DD0"/>
    <w:rsid w:val="00C21E65"/>
    <w:rsid w:val="00C22552"/>
    <w:rsid w:val="00C24C3B"/>
    <w:rsid w:val="00C25067"/>
    <w:rsid w:val="00C25669"/>
    <w:rsid w:val="00C2682B"/>
    <w:rsid w:val="00C27974"/>
    <w:rsid w:val="00C30D39"/>
    <w:rsid w:val="00C332E7"/>
    <w:rsid w:val="00C365A0"/>
    <w:rsid w:val="00C37A58"/>
    <w:rsid w:val="00C37B3D"/>
    <w:rsid w:val="00C40675"/>
    <w:rsid w:val="00C42ECD"/>
    <w:rsid w:val="00C44131"/>
    <w:rsid w:val="00C452A9"/>
    <w:rsid w:val="00C46BE8"/>
    <w:rsid w:val="00C478BC"/>
    <w:rsid w:val="00C50C36"/>
    <w:rsid w:val="00C52222"/>
    <w:rsid w:val="00C55461"/>
    <w:rsid w:val="00C56B22"/>
    <w:rsid w:val="00C6026F"/>
    <w:rsid w:val="00C60674"/>
    <w:rsid w:val="00C622D6"/>
    <w:rsid w:val="00C624B7"/>
    <w:rsid w:val="00C6270C"/>
    <w:rsid w:val="00C62721"/>
    <w:rsid w:val="00C63ACD"/>
    <w:rsid w:val="00C64273"/>
    <w:rsid w:val="00C64388"/>
    <w:rsid w:val="00C64421"/>
    <w:rsid w:val="00C66124"/>
    <w:rsid w:val="00C715AF"/>
    <w:rsid w:val="00C723FE"/>
    <w:rsid w:val="00C72968"/>
    <w:rsid w:val="00C72B16"/>
    <w:rsid w:val="00C72CF5"/>
    <w:rsid w:val="00C73131"/>
    <w:rsid w:val="00C741BD"/>
    <w:rsid w:val="00C758B9"/>
    <w:rsid w:val="00C80A8B"/>
    <w:rsid w:val="00C80F25"/>
    <w:rsid w:val="00C836C9"/>
    <w:rsid w:val="00C83A62"/>
    <w:rsid w:val="00C85053"/>
    <w:rsid w:val="00C870BC"/>
    <w:rsid w:val="00C875BF"/>
    <w:rsid w:val="00C87C95"/>
    <w:rsid w:val="00C90A55"/>
    <w:rsid w:val="00C90D87"/>
    <w:rsid w:val="00C90DB8"/>
    <w:rsid w:val="00C93E66"/>
    <w:rsid w:val="00C93EC5"/>
    <w:rsid w:val="00C9515D"/>
    <w:rsid w:val="00C9535A"/>
    <w:rsid w:val="00C95DFB"/>
    <w:rsid w:val="00C95EC0"/>
    <w:rsid w:val="00CA154E"/>
    <w:rsid w:val="00CA25ED"/>
    <w:rsid w:val="00CA2D3C"/>
    <w:rsid w:val="00CA3434"/>
    <w:rsid w:val="00CA366C"/>
    <w:rsid w:val="00CA3D30"/>
    <w:rsid w:val="00CA437E"/>
    <w:rsid w:val="00CA606A"/>
    <w:rsid w:val="00CA7981"/>
    <w:rsid w:val="00CB0552"/>
    <w:rsid w:val="00CB12E6"/>
    <w:rsid w:val="00CB267A"/>
    <w:rsid w:val="00CB3B5A"/>
    <w:rsid w:val="00CB47A4"/>
    <w:rsid w:val="00CB4FA1"/>
    <w:rsid w:val="00CB582E"/>
    <w:rsid w:val="00CB5AAE"/>
    <w:rsid w:val="00CB5B1B"/>
    <w:rsid w:val="00CB75A1"/>
    <w:rsid w:val="00CC291E"/>
    <w:rsid w:val="00CC347D"/>
    <w:rsid w:val="00CC3DBE"/>
    <w:rsid w:val="00CC4176"/>
    <w:rsid w:val="00CC5E30"/>
    <w:rsid w:val="00CC5EDD"/>
    <w:rsid w:val="00CC5EED"/>
    <w:rsid w:val="00CC5FBD"/>
    <w:rsid w:val="00CC6B8B"/>
    <w:rsid w:val="00CC7935"/>
    <w:rsid w:val="00CD1C59"/>
    <w:rsid w:val="00CD1DE0"/>
    <w:rsid w:val="00CD213F"/>
    <w:rsid w:val="00CD2D3E"/>
    <w:rsid w:val="00CD34F0"/>
    <w:rsid w:val="00CD4C70"/>
    <w:rsid w:val="00CD52BC"/>
    <w:rsid w:val="00CD5771"/>
    <w:rsid w:val="00CD6190"/>
    <w:rsid w:val="00CD624D"/>
    <w:rsid w:val="00CD66D2"/>
    <w:rsid w:val="00CD709A"/>
    <w:rsid w:val="00CD70D5"/>
    <w:rsid w:val="00CD7479"/>
    <w:rsid w:val="00CD7A0D"/>
    <w:rsid w:val="00CD7D4A"/>
    <w:rsid w:val="00CE0147"/>
    <w:rsid w:val="00CE06CA"/>
    <w:rsid w:val="00CE1C97"/>
    <w:rsid w:val="00CE2597"/>
    <w:rsid w:val="00CE308E"/>
    <w:rsid w:val="00CE3A1F"/>
    <w:rsid w:val="00CE3D05"/>
    <w:rsid w:val="00CE51FA"/>
    <w:rsid w:val="00CE53D8"/>
    <w:rsid w:val="00CE6621"/>
    <w:rsid w:val="00CE689D"/>
    <w:rsid w:val="00CE7537"/>
    <w:rsid w:val="00CE7687"/>
    <w:rsid w:val="00CF13EF"/>
    <w:rsid w:val="00CF1919"/>
    <w:rsid w:val="00CF1D09"/>
    <w:rsid w:val="00CF1E5E"/>
    <w:rsid w:val="00CF1F90"/>
    <w:rsid w:val="00CF258E"/>
    <w:rsid w:val="00CF3459"/>
    <w:rsid w:val="00CF60DD"/>
    <w:rsid w:val="00CF63CB"/>
    <w:rsid w:val="00CF6A95"/>
    <w:rsid w:val="00CF73A8"/>
    <w:rsid w:val="00CF78BA"/>
    <w:rsid w:val="00D004E2"/>
    <w:rsid w:val="00D01A1D"/>
    <w:rsid w:val="00D02209"/>
    <w:rsid w:val="00D02DFF"/>
    <w:rsid w:val="00D03438"/>
    <w:rsid w:val="00D03AA5"/>
    <w:rsid w:val="00D03DD3"/>
    <w:rsid w:val="00D03E37"/>
    <w:rsid w:val="00D03F40"/>
    <w:rsid w:val="00D042C7"/>
    <w:rsid w:val="00D059AE"/>
    <w:rsid w:val="00D05ADC"/>
    <w:rsid w:val="00D07F99"/>
    <w:rsid w:val="00D125E1"/>
    <w:rsid w:val="00D142D7"/>
    <w:rsid w:val="00D1436D"/>
    <w:rsid w:val="00D154F1"/>
    <w:rsid w:val="00D159A4"/>
    <w:rsid w:val="00D1640B"/>
    <w:rsid w:val="00D1670F"/>
    <w:rsid w:val="00D17055"/>
    <w:rsid w:val="00D172ED"/>
    <w:rsid w:val="00D21E30"/>
    <w:rsid w:val="00D22217"/>
    <w:rsid w:val="00D22C0C"/>
    <w:rsid w:val="00D2595B"/>
    <w:rsid w:val="00D26C11"/>
    <w:rsid w:val="00D27951"/>
    <w:rsid w:val="00D27AD0"/>
    <w:rsid w:val="00D27D83"/>
    <w:rsid w:val="00D3003C"/>
    <w:rsid w:val="00D313A7"/>
    <w:rsid w:val="00D31DDD"/>
    <w:rsid w:val="00D3226C"/>
    <w:rsid w:val="00D33264"/>
    <w:rsid w:val="00D33996"/>
    <w:rsid w:val="00D34F81"/>
    <w:rsid w:val="00D354DD"/>
    <w:rsid w:val="00D357AF"/>
    <w:rsid w:val="00D37508"/>
    <w:rsid w:val="00D41A47"/>
    <w:rsid w:val="00D42095"/>
    <w:rsid w:val="00D4248A"/>
    <w:rsid w:val="00D434C1"/>
    <w:rsid w:val="00D4376D"/>
    <w:rsid w:val="00D4489C"/>
    <w:rsid w:val="00D45D86"/>
    <w:rsid w:val="00D4637C"/>
    <w:rsid w:val="00D4704C"/>
    <w:rsid w:val="00D471BD"/>
    <w:rsid w:val="00D47666"/>
    <w:rsid w:val="00D47BB7"/>
    <w:rsid w:val="00D50D7A"/>
    <w:rsid w:val="00D514CA"/>
    <w:rsid w:val="00D52449"/>
    <w:rsid w:val="00D534B5"/>
    <w:rsid w:val="00D53638"/>
    <w:rsid w:val="00D53BFA"/>
    <w:rsid w:val="00D54042"/>
    <w:rsid w:val="00D540DE"/>
    <w:rsid w:val="00D542A5"/>
    <w:rsid w:val="00D54D5E"/>
    <w:rsid w:val="00D55773"/>
    <w:rsid w:val="00D56058"/>
    <w:rsid w:val="00D56FC1"/>
    <w:rsid w:val="00D57D14"/>
    <w:rsid w:val="00D60765"/>
    <w:rsid w:val="00D60A6C"/>
    <w:rsid w:val="00D61D6E"/>
    <w:rsid w:val="00D61F91"/>
    <w:rsid w:val="00D62477"/>
    <w:rsid w:val="00D63FB5"/>
    <w:rsid w:val="00D65795"/>
    <w:rsid w:val="00D65A6D"/>
    <w:rsid w:val="00D6683C"/>
    <w:rsid w:val="00D66A2E"/>
    <w:rsid w:val="00D66F2E"/>
    <w:rsid w:val="00D67725"/>
    <w:rsid w:val="00D67A31"/>
    <w:rsid w:val="00D70975"/>
    <w:rsid w:val="00D70D65"/>
    <w:rsid w:val="00D72194"/>
    <w:rsid w:val="00D72839"/>
    <w:rsid w:val="00D7286F"/>
    <w:rsid w:val="00D734B9"/>
    <w:rsid w:val="00D7437A"/>
    <w:rsid w:val="00D7446F"/>
    <w:rsid w:val="00D7448E"/>
    <w:rsid w:val="00D750BD"/>
    <w:rsid w:val="00D75256"/>
    <w:rsid w:val="00D7583B"/>
    <w:rsid w:val="00D7640D"/>
    <w:rsid w:val="00D800AD"/>
    <w:rsid w:val="00D807C7"/>
    <w:rsid w:val="00D80AAA"/>
    <w:rsid w:val="00D80DAD"/>
    <w:rsid w:val="00D80DD0"/>
    <w:rsid w:val="00D828EB"/>
    <w:rsid w:val="00D833F3"/>
    <w:rsid w:val="00D8355B"/>
    <w:rsid w:val="00D84D46"/>
    <w:rsid w:val="00D85777"/>
    <w:rsid w:val="00D862E2"/>
    <w:rsid w:val="00D87E19"/>
    <w:rsid w:val="00D902C5"/>
    <w:rsid w:val="00D90930"/>
    <w:rsid w:val="00D90AAD"/>
    <w:rsid w:val="00D9224F"/>
    <w:rsid w:val="00D92796"/>
    <w:rsid w:val="00D92BDB"/>
    <w:rsid w:val="00D92DD0"/>
    <w:rsid w:val="00D93125"/>
    <w:rsid w:val="00D93510"/>
    <w:rsid w:val="00D936D1"/>
    <w:rsid w:val="00D9592F"/>
    <w:rsid w:val="00DA2EDD"/>
    <w:rsid w:val="00DA3845"/>
    <w:rsid w:val="00DA40F7"/>
    <w:rsid w:val="00DA4669"/>
    <w:rsid w:val="00DA583B"/>
    <w:rsid w:val="00DA5CF8"/>
    <w:rsid w:val="00DA61DC"/>
    <w:rsid w:val="00DA665C"/>
    <w:rsid w:val="00DA79EF"/>
    <w:rsid w:val="00DA7AF6"/>
    <w:rsid w:val="00DB08B2"/>
    <w:rsid w:val="00DB1073"/>
    <w:rsid w:val="00DB160F"/>
    <w:rsid w:val="00DB3191"/>
    <w:rsid w:val="00DB3546"/>
    <w:rsid w:val="00DB37A8"/>
    <w:rsid w:val="00DB38BD"/>
    <w:rsid w:val="00DB40F7"/>
    <w:rsid w:val="00DB4CA3"/>
    <w:rsid w:val="00DB58FC"/>
    <w:rsid w:val="00DB6136"/>
    <w:rsid w:val="00DB64AA"/>
    <w:rsid w:val="00DB6A9F"/>
    <w:rsid w:val="00DC06D5"/>
    <w:rsid w:val="00DC0CB6"/>
    <w:rsid w:val="00DC215D"/>
    <w:rsid w:val="00DC29BE"/>
    <w:rsid w:val="00DC2EC6"/>
    <w:rsid w:val="00DC4C7D"/>
    <w:rsid w:val="00DC4F21"/>
    <w:rsid w:val="00DC6231"/>
    <w:rsid w:val="00DC69D0"/>
    <w:rsid w:val="00DC7841"/>
    <w:rsid w:val="00DD1E57"/>
    <w:rsid w:val="00DD1EB0"/>
    <w:rsid w:val="00DD73A2"/>
    <w:rsid w:val="00DD7469"/>
    <w:rsid w:val="00DE0DBD"/>
    <w:rsid w:val="00DE1A11"/>
    <w:rsid w:val="00DE1E44"/>
    <w:rsid w:val="00DE2D87"/>
    <w:rsid w:val="00DE3853"/>
    <w:rsid w:val="00DE3F65"/>
    <w:rsid w:val="00DE5037"/>
    <w:rsid w:val="00DE51AC"/>
    <w:rsid w:val="00DE54FB"/>
    <w:rsid w:val="00DE78B8"/>
    <w:rsid w:val="00DF00AC"/>
    <w:rsid w:val="00DF16AB"/>
    <w:rsid w:val="00DF1F8C"/>
    <w:rsid w:val="00DF4565"/>
    <w:rsid w:val="00DF52E2"/>
    <w:rsid w:val="00DF5A7C"/>
    <w:rsid w:val="00E004C6"/>
    <w:rsid w:val="00E00F72"/>
    <w:rsid w:val="00E01B39"/>
    <w:rsid w:val="00E02B8F"/>
    <w:rsid w:val="00E0325C"/>
    <w:rsid w:val="00E0331C"/>
    <w:rsid w:val="00E042AA"/>
    <w:rsid w:val="00E042E7"/>
    <w:rsid w:val="00E05193"/>
    <w:rsid w:val="00E05A92"/>
    <w:rsid w:val="00E0626C"/>
    <w:rsid w:val="00E07688"/>
    <w:rsid w:val="00E1229D"/>
    <w:rsid w:val="00E1247B"/>
    <w:rsid w:val="00E129E9"/>
    <w:rsid w:val="00E12CBA"/>
    <w:rsid w:val="00E12CFA"/>
    <w:rsid w:val="00E130A5"/>
    <w:rsid w:val="00E13AF6"/>
    <w:rsid w:val="00E14B13"/>
    <w:rsid w:val="00E14B8E"/>
    <w:rsid w:val="00E14CFE"/>
    <w:rsid w:val="00E150AC"/>
    <w:rsid w:val="00E152AB"/>
    <w:rsid w:val="00E15FCC"/>
    <w:rsid w:val="00E16182"/>
    <w:rsid w:val="00E20A44"/>
    <w:rsid w:val="00E20E88"/>
    <w:rsid w:val="00E21A9D"/>
    <w:rsid w:val="00E255F5"/>
    <w:rsid w:val="00E25FC8"/>
    <w:rsid w:val="00E26A5B"/>
    <w:rsid w:val="00E300C9"/>
    <w:rsid w:val="00E3023D"/>
    <w:rsid w:val="00E309DD"/>
    <w:rsid w:val="00E31464"/>
    <w:rsid w:val="00E3182C"/>
    <w:rsid w:val="00E32B73"/>
    <w:rsid w:val="00E32F9F"/>
    <w:rsid w:val="00E331B7"/>
    <w:rsid w:val="00E36400"/>
    <w:rsid w:val="00E37F60"/>
    <w:rsid w:val="00E40518"/>
    <w:rsid w:val="00E44D33"/>
    <w:rsid w:val="00E46870"/>
    <w:rsid w:val="00E46B4C"/>
    <w:rsid w:val="00E46CF4"/>
    <w:rsid w:val="00E5031F"/>
    <w:rsid w:val="00E50CD3"/>
    <w:rsid w:val="00E52BAC"/>
    <w:rsid w:val="00E52C1B"/>
    <w:rsid w:val="00E52EDB"/>
    <w:rsid w:val="00E540E4"/>
    <w:rsid w:val="00E560EC"/>
    <w:rsid w:val="00E56217"/>
    <w:rsid w:val="00E5708D"/>
    <w:rsid w:val="00E60304"/>
    <w:rsid w:val="00E60E01"/>
    <w:rsid w:val="00E613DE"/>
    <w:rsid w:val="00E61EF3"/>
    <w:rsid w:val="00E6231C"/>
    <w:rsid w:val="00E62B65"/>
    <w:rsid w:val="00E6386B"/>
    <w:rsid w:val="00E64AB8"/>
    <w:rsid w:val="00E67864"/>
    <w:rsid w:val="00E67ACF"/>
    <w:rsid w:val="00E67D33"/>
    <w:rsid w:val="00E7100B"/>
    <w:rsid w:val="00E7148C"/>
    <w:rsid w:val="00E72BF7"/>
    <w:rsid w:val="00E736AF"/>
    <w:rsid w:val="00E73C8F"/>
    <w:rsid w:val="00E747F8"/>
    <w:rsid w:val="00E75E61"/>
    <w:rsid w:val="00E771CE"/>
    <w:rsid w:val="00E77348"/>
    <w:rsid w:val="00E8075D"/>
    <w:rsid w:val="00E8162F"/>
    <w:rsid w:val="00E83DB2"/>
    <w:rsid w:val="00E84279"/>
    <w:rsid w:val="00E85F92"/>
    <w:rsid w:val="00E86781"/>
    <w:rsid w:val="00E8775B"/>
    <w:rsid w:val="00E900E1"/>
    <w:rsid w:val="00E90F04"/>
    <w:rsid w:val="00E9108B"/>
    <w:rsid w:val="00E911AF"/>
    <w:rsid w:val="00E91637"/>
    <w:rsid w:val="00E93278"/>
    <w:rsid w:val="00E9329B"/>
    <w:rsid w:val="00E946D5"/>
    <w:rsid w:val="00E966B8"/>
    <w:rsid w:val="00E969B3"/>
    <w:rsid w:val="00E96C66"/>
    <w:rsid w:val="00E96FB2"/>
    <w:rsid w:val="00E973AC"/>
    <w:rsid w:val="00E97934"/>
    <w:rsid w:val="00E97A78"/>
    <w:rsid w:val="00E97D88"/>
    <w:rsid w:val="00EA1B24"/>
    <w:rsid w:val="00EA2439"/>
    <w:rsid w:val="00EA7174"/>
    <w:rsid w:val="00EA7750"/>
    <w:rsid w:val="00EB0288"/>
    <w:rsid w:val="00EB1248"/>
    <w:rsid w:val="00EB12F4"/>
    <w:rsid w:val="00EB380D"/>
    <w:rsid w:val="00EB40E5"/>
    <w:rsid w:val="00EB413A"/>
    <w:rsid w:val="00EB69F5"/>
    <w:rsid w:val="00EC1854"/>
    <w:rsid w:val="00EC3F56"/>
    <w:rsid w:val="00EC4085"/>
    <w:rsid w:val="00EC46D2"/>
    <w:rsid w:val="00EC5A48"/>
    <w:rsid w:val="00EC5AD6"/>
    <w:rsid w:val="00EC5C12"/>
    <w:rsid w:val="00EC6A74"/>
    <w:rsid w:val="00EC6F78"/>
    <w:rsid w:val="00EC7E00"/>
    <w:rsid w:val="00ED09A5"/>
    <w:rsid w:val="00ED260E"/>
    <w:rsid w:val="00ED26F5"/>
    <w:rsid w:val="00ED2752"/>
    <w:rsid w:val="00ED4D3B"/>
    <w:rsid w:val="00ED4DF2"/>
    <w:rsid w:val="00ED7705"/>
    <w:rsid w:val="00EE0D9B"/>
    <w:rsid w:val="00EE2ABE"/>
    <w:rsid w:val="00EE2EF4"/>
    <w:rsid w:val="00EE3989"/>
    <w:rsid w:val="00EE3E51"/>
    <w:rsid w:val="00EE3FF1"/>
    <w:rsid w:val="00EE475F"/>
    <w:rsid w:val="00EE517D"/>
    <w:rsid w:val="00EF17A4"/>
    <w:rsid w:val="00EF1AD1"/>
    <w:rsid w:val="00EF20DA"/>
    <w:rsid w:val="00EF26FC"/>
    <w:rsid w:val="00EF2D5E"/>
    <w:rsid w:val="00EF37EC"/>
    <w:rsid w:val="00EF38DE"/>
    <w:rsid w:val="00EF3C86"/>
    <w:rsid w:val="00EF3CD7"/>
    <w:rsid w:val="00EF3EDB"/>
    <w:rsid w:val="00EF4123"/>
    <w:rsid w:val="00EF69CC"/>
    <w:rsid w:val="00F0103E"/>
    <w:rsid w:val="00F03ADC"/>
    <w:rsid w:val="00F03AE3"/>
    <w:rsid w:val="00F060A3"/>
    <w:rsid w:val="00F07741"/>
    <w:rsid w:val="00F07D21"/>
    <w:rsid w:val="00F11083"/>
    <w:rsid w:val="00F11CBD"/>
    <w:rsid w:val="00F12F4C"/>
    <w:rsid w:val="00F13C25"/>
    <w:rsid w:val="00F14209"/>
    <w:rsid w:val="00F153E7"/>
    <w:rsid w:val="00F16720"/>
    <w:rsid w:val="00F1796B"/>
    <w:rsid w:val="00F17F51"/>
    <w:rsid w:val="00F2061B"/>
    <w:rsid w:val="00F20655"/>
    <w:rsid w:val="00F206E4"/>
    <w:rsid w:val="00F21A3C"/>
    <w:rsid w:val="00F24236"/>
    <w:rsid w:val="00F24475"/>
    <w:rsid w:val="00F24607"/>
    <w:rsid w:val="00F2561E"/>
    <w:rsid w:val="00F26348"/>
    <w:rsid w:val="00F26D77"/>
    <w:rsid w:val="00F27933"/>
    <w:rsid w:val="00F30ADC"/>
    <w:rsid w:val="00F319E2"/>
    <w:rsid w:val="00F32086"/>
    <w:rsid w:val="00F335F5"/>
    <w:rsid w:val="00F36063"/>
    <w:rsid w:val="00F4247B"/>
    <w:rsid w:val="00F4252C"/>
    <w:rsid w:val="00F42CCF"/>
    <w:rsid w:val="00F4369B"/>
    <w:rsid w:val="00F44D86"/>
    <w:rsid w:val="00F462B5"/>
    <w:rsid w:val="00F46BB0"/>
    <w:rsid w:val="00F474AF"/>
    <w:rsid w:val="00F47A84"/>
    <w:rsid w:val="00F47F90"/>
    <w:rsid w:val="00F50036"/>
    <w:rsid w:val="00F500F3"/>
    <w:rsid w:val="00F5070B"/>
    <w:rsid w:val="00F51DB0"/>
    <w:rsid w:val="00F521F0"/>
    <w:rsid w:val="00F52B6D"/>
    <w:rsid w:val="00F534E5"/>
    <w:rsid w:val="00F53784"/>
    <w:rsid w:val="00F55548"/>
    <w:rsid w:val="00F5636E"/>
    <w:rsid w:val="00F564B3"/>
    <w:rsid w:val="00F5651F"/>
    <w:rsid w:val="00F60463"/>
    <w:rsid w:val="00F607E2"/>
    <w:rsid w:val="00F60F2C"/>
    <w:rsid w:val="00F62A92"/>
    <w:rsid w:val="00F636E5"/>
    <w:rsid w:val="00F6455F"/>
    <w:rsid w:val="00F648EC"/>
    <w:rsid w:val="00F64E50"/>
    <w:rsid w:val="00F675F6"/>
    <w:rsid w:val="00F6791F"/>
    <w:rsid w:val="00F70409"/>
    <w:rsid w:val="00F70B8E"/>
    <w:rsid w:val="00F720DC"/>
    <w:rsid w:val="00F74B18"/>
    <w:rsid w:val="00F76D7C"/>
    <w:rsid w:val="00F80233"/>
    <w:rsid w:val="00F813C0"/>
    <w:rsid w:val="00F836ED"/>
    <w:rsid w:val="00F83850"/>
    <w:rsid w:val="00F856C5"/>
    <w:rsid w:val="00F875FD"/>
    <w:rsid w:val="00F87729"/>
    <w:rsid w:val="00F91077"/>
    <w:rsid w:val="00F91C33"/>
    <w:rsid w:val="00F93B1B"/>
    <w:rsid w:val="00F9435C"/>
    <w:rsid w:val="00F96713"/>
    <w:rsid w:val="00F96FED"/>
    <w:rsid w:val="00F971BB"/>
    <w:rsid w:val="00F97542"/>
    <w:rsid w:val="00FA3690"/>
    <w:rsid w:val="00FA39A4"/>
    <w:rsid w:val="00FA70AC"/>
    <w:rsid w:val="00FA7277"/>
    <w:rsid w:val="00FB12BE"/>
    <w:rsid w:val="00FB1342"/>
    <w:rsid w:val="00FB225A"/>
    <w:rsid w:val="00FB50C1"/>
    <w:rsid w:val="00FB6C51"/>
    <w:rsid w:val="00FB74D7"/>
    <w:rsid w:val="00FC047E"/>
    <w:rsid w:val="00FC064A"/>
    <w:rsid w:val="00FC119C"/>
    <w:rsid w:val="00FC1FD7"/>
    <w:rsid w:val="00FC213F"/>
    <w:rsid w:val="00FC2595"/>
    <w:rsid w:val="00FC288B"/>
    <w:rsid w:val="00FC4F24"/>
    <w:rsid w:val="00FC5420"/>
    <w:rsid w:val="00FC5962"/>
    <w:rsid w:val="00FC7D33"/>
    <w:rsid w:val="00FD1865"/>
    <w:rsid w:val="00FD1E32"/>
    <w:rsid w:val="00FD2320"/>
    <w:rsid w:val="00FD28A2"/>
    <w:rsid w:val="00FD2EF0"/>
    <w:rsid w:val="00FD5B09"/>
    <w:rsid w:val="00FD5E08"/>
    <w:rsid w:val="00FD601C"/>
    <w:rsid w:val="00FD7703"/>
    <w:rsid w:val="00FD79B5"/>
    <w:rsid w:val="00FE06AC"/>
    <w:rsid w:val="00FE1876"/>
    <w:rsid w:val="00FE1FE6"/>
    <w:rsid w:val="00FE2BA3"/>
    <w:rsid w:val="00FE5031"/>
    <w:rsid w:val="00FE5D53"/>
    <w:rsid w:val="00FF1B9F"/>
    <w:rsid w:val="00FF1EA3"/>
    <w:rsid w:val="00FF32F7"/>
    <w:rsid w:val="00FF3E88"/>
    <w:rsid w:val="00FF3F8A"/>
    <w:rsid w:val="00FF5037"/>
    <w:rsid w:val="00FF526B"/>
    <w:rsid w:val="00FF5B03"/>
    <w:rsid w:val="00FF5EE8"/>
    <w:rsid w:val="00FF7A13"/>
    <w:rsid w:val="56F475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1F89FA6"/>
  <w15:docId w15:val="{8056A8DC-C5E5-4379-9663-4FC9A12A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annotation text" w:semiHidden="1" w:uiPriority="0"/>
    <w:lsdException w:name="index heading" w:semiHidden="1" w:unhideWhenUsed="1"/>
    <w:lsdException w:name="caption" w:qFormat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uiPriority="0"/>
    <w:lsdException w:name="line number" w:semiHidden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/>
    </w:pPr>
    <w:rPr>
      <w:rFonts w:ascii="Times New Roman" w:eastAsia="Times New Roman" w:hAnsi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numPr>
        <w:numId w:val="1"/>
      </w:numPr>
      <w:spacing w:before="240" w:line="360" w:lineRule="atLeast"/>
      <w:ind w:left="0" w:firstLine="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numPr>
        <w:ilvl w:val="1"/>
        <w:numId w:val="1"/>
      </w:numPr>
      <w:spacing w:line="360" w:lineRule="atLeast"/>
      <w:ind w:left="0" w:firstLine="0"/>
      <w:jc w:val="both"/>
      <w:outlineLvl w:val="1"/>
    </w:pPr>
    <w:rPr>
      <w:b/>
      <w:bCs/>
    </w:rPr>
  </w:style>
  <w:style w:type="paragraph" w:styleId="Heading3">
    <w:name w:val="heading 3"/>
    <w:basedOn w:val="Normal"/>
    <w:next w:val="Heading2"/>
    <w:link w:val="Heading3Char"/>
    <w:qFormat/>
    <w:pPr>
      <w:keepNext/>
      <w:keepLines/>
      <w:numPr>
        <w:numId w:val="2"/>
      </w:numPr>
      <w:spacing w:line="360" w:lineRule="atLeast"/>
      <w:outlineLvl w:val="2"/>
    </w:pPr>
    <w:rPr>
      <w:b/>
      <w:bCs/>
      <w:sz w:val="26"/>
      <w:szCs w:val="26"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pPr>
      <w:numPr>
        <w:numId w:val="3"/>
      </w:numPr>
      <w:spacing w:line="360" w:lineRule="atLeast"/>
      <w:jc w:val="both"/>
      <w:outlineLvl w:val="3"/>
    </w:pPr>
    <w:rPr>
      <w:rFonts w:eastAsia="Calibri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keepLines/>
      <w:spacing w:before="40" w:line="360" w:lineRule="atLeast"/>
      <w:ind w:firstLine="709"/>
      <w:jc w:val="both"/>
      <w:outlineLvl w:val="4"/>
    </w:pPr>
    <w:rPr>
      <w:rFonts w:ascii="Calibri Light" w:eastAsia="Calibri" w:hAnsi="Calibri Light" w:cs="Calibri Light"/>
      <w:sz w:val="20"/>
      <w:szCs w:val="20"/>
      <w:lang w:eastAsia="bg-BG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spacing w:before="40" w:line="360" w:lineRule="atLeast"/>
      <w:ind w:firstLine="709"/>
      <w:jc w:val="both"/>
      <w:outlineLvl w:val="5"/>
    </w:pPr>
    <w:rPr>
      <w:rFonts w:ascii="Calibri Light" w:eastAsia="Calibri" w:hAnsi="Calibri Light" w:cs="Calibri Light"/>
      <w:color w:val="1F4D78"/>
      <w:lang w:eastAsia="bg-BG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spacing w:before="40" w:line="360" w:lineRule="atLeast"/>
      <w:ind w:firstLine="709"/>
      <w:jc w:val="both"/>
      <w:outlineLvl w:val="6"/>
    </w:pPr>
    <w:rPr>
      <w:rFonts w:ascii="Calibri Light" w:eastAsia="Calibri" w:hAnsi="Calibri Light" w:cs="Calibri Light"/>
      <w:i/>
      <w:iCs/>
      <w:color w:val="1F4D78"/>
      <w:lang w:eastAsia="bg-BG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spacing w:before="40" w:line="360" w:lineRule="atLeast"/>
      <w:ind w:firstLine="709"/>
      <w:jc w:val="both"/>
      <w:outlineLvl w:val="7"/>
    </w:pPr>
    <w:rPr>
      <w:rFonts w:ascii="Calibri Light" w:eastAsia="Calibri" w:hAnsi="Calibri Light" w:cs="Calibri Light"/>
      <w:color w:val="272727"/>
      <w:sz w:val="21"/>
      <w:szCs w:val="21"/>
      <w:lang w:eastAsia="bg-BG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keepLines/>
      <w:spacing w:before="40" w:line="360" w:lineRule="atLeast"/>
      <w:ind w:firstLine="709"/>
      <w:jc w:val="both"/>
      <w:outlineLvl w:val="8"/>
    </w:pPr>
    <w:rPr>
      <w:rFonts w:ascii="Calibri Light" w:eastAsia="Calibri" w:hAnsi="Calibri Light" w:cs="Calibri Light"/>
      <w:i/>
      <w:iCs/>
      <w:color w:val="272727"/>
      <w:sz w:val="21"/>
      <w:szCs w:val="21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pPr>
      <w:ind w:firstLine="709"/>
      <w:jc w:val="both"/>
    </w:pPr>
    <w:rPr>
      <w:rFonts w:ascii="Segoe UI" w:eastAsia="Calibri" w:hAnsi="Segoe UI" w:cs="Segoe UI"/>
      <w:sz w:val="18"/>
      <w:szCs w:val="18"/>
      <w:lang w:eastAsia="bg-BG"/>
    </w:rPr>
  </w:style>
  <w:style w:type="paragraph" w:styleId="BodyText">
    <w:name w:val="Body Text"/>
    <w:basedOn w:val="Normal"/>
    <w:link w:val="BodyTextChar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pPr>
      <w:spacing w:line="480" w:lineRule="auto"/>
      <w:ind w:left="283"/>
    </w:pPr>
    <w:rPr>
      <w:rFonts w:ascii="Calibri" w:eastAsia="Calibri" w:hAnsi="Calibri" w:cs="Calibri"/>
      <w:lang w:eastAsia="bg-BG"/>
    </w:rPr>
  </w:style>
  <w:style w:type="paragraph" w:styleId="Caption">
    <w:name w:val="caption"/>
    <w:basedOn w:val="Normal"/>
    <w:next w:val="Normal"/>
    <w:autoRedefine/>
    <w:uiPriority w:val="99"/>
    <w:qFormat/>
    <w:pPr>
      <w:jc w:val="both"/>
    </w:pPr>
    <w:rPr>
      <w:rFonts w:eastAsia="Calibri"/>
      <w:i/>
      <w:iCs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ind w:firstLine="709"/>
      <w:jc w:val="both"/>
    </w:pPr>
    <w:rPr>
      <w:rFonts w:ascii="Calibri" w:eastAsia="Calibri" w:hAnsi="Calibri" w:cs="Calibri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EndnoteReference">
    <w:name w:val="endnote reference"/>
    <w:basedOn w:val="DefaultParagraphFont"/>
    <w:uiPriority w:val="99"/>
    <w:semiHidden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pPr>
      <w:ind w:firstLine="709"/>
      <w:jc w:val="both"/>
    </w:pPr>
    <w:rPr>
      <w:rFonts w:eastAsia="Calibri"/>
      <w:sz w:val="20"/>
      <w:szCs w:val="20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  <w:ind w:firstLine="709"/>
      <w:jc w:val="both"/>
    </w:pPr>
    <w:rPr>
      <w:rFonts w:eastAsia="Calibri"/>
    </w:rPr>
  </w:style>
  <w:style w:type="character" w:styleId="FootnoteReference">
    <w:name w:val="footnote reference"/>
    <w:basedOn w:val="DefaultParagraphFont"/>
    <w:link w:val="FootnoteReferenceLVL61Char"/>
    <w:rPr>
      <w:vertAlign w:val="superscript"/>
    </w:rPr>
  </w:style>
  <w:style w:type="paragraph" w:customStyle="1" w:styleId="FootnoteReferenceLVL61Char">
    <w:name w:val="Footnote Reference_LVL61 Char"/>
    <w:basedOn w:val="Normal"/>
    <w:link w:val="FootnoteReference"/>
    <w:uiPriority w:val="99"/>
    <w:pPr>
      <w:spacing w:after="160" w:line="240" w:lineRule="exact"/>
      <w:jc w:val="both"/>
    </w:pPr>
    <w:rPr>
      <w:rFonts w:ascii="Calibri" w:eastAsia="Calibri" w:hAnsi="Calibri" w:cs="Calibri"/>
      <w:sz w:val="20"/>
      <w:szCs w:val="20"/>
      <w:vertAlign w:val="superscript"/>
      <w:lang w:eastAsia="bg-BG"/>
    </w:rPr>
  </w:style>
  <w:style w:type="paragraph" w:styleId="FootnoteText">
    <w:name w:val="footnote text"/>
    <w:basedOn w:val="Normal"/>
    <w:link w:val="FootnoteTextChar1"/>
    <w:uiPriority w:val="99"/>
    <w:pPr>
      <w:ind w:firstLine="709"/>
      <w:jc w:val="both"/>
    </w:pPr>
    <w:rPr>
      <w:rFonts w:ascii="Calibri" w:eastAsia="Calibri" w:hAnsi="Calibri" w:cs="Calibri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  <w:ind w:firstLine="709"/>
      <w:jc w:val="both"/>
    </w:pPr>
    <w:rPr>
      <w:rFonts w:eastAsia="Calibri"/>
    </w:rPr>
  </w:style>
  <w:style w:type="character" w:styleId="HTMLCite">
    <w:name w:val="HTML Cite"/>
    <w:basedOn w:val="DefaultParagraphFont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LineNumber">
    <w:name w:val="line number"/>
    <w:basedOn w:val="DefaultParagraphFont"/>
    <w:uiPriority w:val="99"/>
    <w:semiHidden/>
  </w:style>
  <w:style w:type="paragraph" w:styleId="NormalWeb">
    <w:name w:val="Normal (Web)"/>
    <w:basedOn w:val="Normal"/>
    <w:uiPriority w:val="99"/>
    <w:pPr>
      <w:spacing w:before="100" w:beforeAutospacing="1" w:after="100" w:afterAutospacing="1"/>
      <w:ind w:firstLine="709"/>
      <w:jc w:val="both"/>
    </w:pPr>
    <w:rPr>
      <w:lang w:eastAsia="bg-BG"/>
    </w:rPr>
  </w:style>
  <w:style w:type="character" w:styleId="Strong">
    <w:name w:val="Strong"/>
    <w:basedOn w:val="DefaultParagraphFont"/>
    <w:uiPriority w:val="22"/>
    <w:qFormat/>
    <w:rPr>
      <w:rFonts w:ascii="Times New Roman" w:hAnsi="Times New Roman" w:cs="Times New Roman"/>
      <w:b/>
      <w:bCs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pPr>
      <w:spacing w:line="360" w:lineRule="atLeast"/>
      <w:ind w:firstLine="709"/>
      <w:jc w:val="both"/>
    </w:pPr>
    <w:rPr>
      <w:rFonts w:ascii="Calibri" w:hAnsi="Calibri" w:cs="Calibri"/>
      <w:color w:val="5A5A5A"/>
      <w:spacing w:val="15"/>
      <w:sz w:val="20"/>
      <w:szCs w:val="20"/>
      <w:lang w:eastAsia="bg-BG"/>
    </w:rPr>
  </w:style>
  <w:style w:type="table" w:styleId="TableGrid">
    <w:name w:val="Table Grid"/>
    <w:basedOn w:val="TableNormal"/>
    <w:uiPriority w:val="3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pPr>
      <w:spacing w:line="360" w:lineRule="atLeast"/>
      <w:ind w:left="480" w:hanging="480"/>
    </w:pPr>
    <w:rPr>
      <w:rFonts w:asciiTheme="minorHAnsi" w:eastAsia="Calibri" w:hAnsiTheme="minorHAnsi" w:cstheme="minorHAnsi"/>
      <w:smallCaps/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pPr>
      <w:ind w:firstLine="709"/>
      <w:jc w:val="both"/>
    </w:pPr>
    <w:rPr>
      <w:rFonts w:ascii="Calibri Light" w:eastAsia="Calibri" w:hAnsi="Calibri Light" w:cs="Calibri Light"/>
      <w:spacing w:val="-10"/>
      <w:kern w:val="28"/>
      <w:sz w:val="56"/>
      <w:szCs w:val="56"/>
      <w:lang w:eastAsia="bg-BG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709"/>
        <w:tab w:val="left" w:pos="990"/>
        <w:tab w:val="right" w:leader="dot" w:pos="9354"/>
      </w:tabs>
      <w:spacing w:after="100" w:line="240" w:lineRule="atLeast"/>
      <w:ind w:left="567"/>
    </w:pPr>
    <w:rPr>
      <w:rFonts w:eastAsia="Calibri"/>
      <w:b/>
      <w:bCs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1760"/>
        <w:tab w:val="right" w:leader="dot" w:pos="9354"/>
      </w:tabs>
      <w:spacing w:after="60"/>
      <w:ind w:left="567"/>
      <w:jc w:val="both"/>
    </w:pPr>
    <w:rPr>
      <w:rFonts w:eastAsia="Calibri"/>
    </w:rPr>
  </w:style>
  <w:style w:type="paragraph" w:styleId="TOC3">
    <w:name w:val="toc 3"/>
    <w:basedOn w:val="Normal"/>
    <w:next w:val="Normal"/>
    <w:autoRedefine/>
    <w:uiPriority w:val="39"/>
    <w:pPr>
      <w:spacing w:after="100" w:line="360" w:lineRule="atLeast"/>
      <w:ind w:left="480" w:firstLine="709"/>
      <w:jc w:val="both"/>
    </w:pPr>
    <w:rPr>
      <w:rFonts w:eastAsia="Calibri"/>
    </w:rPr>
  </w:style>
  <w:style w:type="paragraph" w:styleId="TOC4">
    <w:name w:val="toc 4"/>
    <w:basedOn w:val="Normal"/>
    <w:next w:val="Normal"/>
    <w:autoRedefine/>
    <w:uiPriority w:val="39"/>
    <w:pPr>
      <w:spacing w:after="100" w:line="360" w:lineRule="atLeast"/>
      <w:ind w:left="720" w:firstLine="709"/>
      <w:jc w:val="both"/>
    </w:pPr>
    <w:rPr>
      <w:rFonts w:eastAsia="Calibri"/>
    </w:rPr>
  </w:style>
  <w:style w:type="paragraph" w:styleId="TOC5">
    <w:name w:val="toc 5"/>
    <w:basedOn w:val="Normal"/>
    <w:next w:val="Normal"/>
    <w:autoRedefine/>
    <w:uiPriority w:val="39"/>
    <w:pPr>
      <w:spacing w:after="100" w:line="259" w:lineRule="auto"/>
      <w:ind w:left="880"/>
    </w:pPr>
    <w:rPr>
      <w:rFonts w:ascii="Calibri" w:hAnsi="Calibri" w:cs="Calibri"/>
      <w:sz w:val="22"/>
      <w:szCs w:val="22"/>
      <w:lang w:eastAsia="bg-BG"/>
    </w:rPr>
  </w:style>
  <w:style w:type="paragraph" w:styleId="TOC6">
    <w:name w:val="toc 6"/>
    <w:basedOn w:val="Normal"/>
    <w:next w:val="Normal"/>
    <w:autoRedefine/>
    <w:uiPriority w:val="39"/>
    <w:pPr>
      <w:spacing w:after="100" w:line="259" w:lineRule="auto"/>
      <w:ind w:left="1100"/>
    </w:pPr>
    <w:rPr>
      <w:rFonts w:ascii="Calibri" w:hAnsi="Calibri" w:cs="Calibri"/>
      <w:sz w:val="22"/>
      <w:szCs w:val="22"/>
      <w:lang w:eastAsia="bg-BG"/>
    </w:rPr>
  </w:style>
  <w:style w:type="paragraph" w:styleId="TOC7">
    <w:name w:val="toc 7"/>
    <w:basedOn w:val="Normal"/>
    <w:next w:val="Normal"/>
    <w:autoRedefine/>
    <w:uiPriority w:val="39"/>
    <w:pPr>
      <w:spacing w:after="100" w:line="259" w:lineRule="auto"/>
      <w:ind w:left="1320"/>
    </w:pPr>
    <w:rPr>
      <w:rFonts w:ascii="Calibri" w:hAnsi="Calibri" w:cs="Calibri"/>
      <w:sz w:val="22"/>
      <w:szCs w:val="22"/>
      <w:lang w:eastAsia="bg-BG"/>
    </w:rPr>
  </w:style>
  <w:style w:type="paragraph" w:styleId="TOC8">
    <w:name w:val="toc 8"/>
    <w:basedOn w:val="Normal"/>
    <w:next w:val="Normal"/>
    <w:autoRedefine/>
    <w:uiPriority w:val="39"/>
    <w:pPr>
      <w:spacing w:after="100" w:line="259" w:lineRule="auto"/>
      <w:ind w:left="1540"/>
    </w:pPr>
    <w:rPr>
      <w:rFonts w:ascii="Calibri" w:hAnsi="Calibri" w:cs="Calibri"/>
      <w:sz w:val="22"/>
      <w:szCs w:val="22"/>
      <w:lang w:eastAsia="bg-BG"/>
    </w:rPr>
  </w:style>
  <w:style w:type="paragraph" w:styleId="TOC9">
    <w:name w:val="toc 9"/>
    <w:basedOn w:val="Normal"/>
    <w:next w:val="Normal"/>
    <w:autoRedefine/>
    <w:uiPriority w:val="39"/>
    <w:pPr>
      <w:spacing w:after="100" w:line="259" w:lineRule="auto"/>
      <w:ind w:left="1760"/>
    </w:pPr>
    <w:rPr>
      <w:rFonts w:ascii="Calibri" w:hAnsi="Calibri" w:cs="Calibri"/>
      <w:sz w:val="22"/>
      <w:szCs w:val="22"/>
      <w:lang w:eastAsia="bg-BG"/>
    </w:rPr>
  </w:style>
  <w:style w:type="character" w:customStyle="1" w:styleId="Heading1Char">
    <w:name w:val="Heading 1 Char"/>
    <w:basedOn w:val="DefaultParagraphFont"/>
    <w:link w:val="Heading1"/>
    <w:uiPriority w:val="99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Pr>
      <w:rFonts w:ascii="Times New Roman" w:eastAsia="Times New Roman" w:hAnsi="Times New Roman"/>
      <w:b/>
      <w:bCs/>
      <w:sz w:val="26"/>
      <w:szCs w:val="26"/>
      <w:u w:val="single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rPr>
      <w:rFonts w:ascii="Times New Roman" w:hAnsi="Times New Roman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rPr>
      <w:rFonts w:ascii="Calibri Light" w:hAnsi="Calibri Light" w:cs="Calibri Light"/>
    </w:rPr>
  </w:style>
  <w:style w:type="character" w:customStyle="1" w:styleId="Heading6Char">
    <w:name w:val="Heading 6 Char"/>
    <w:basedOn w:val="DefaultParagraphFont"/>
    <w:link w:val="Heading6"/>
    <w:uiPriority w:val="99"/>
    <w:rPr>
      <w:rFonts w:ascii="Calibri Light" w:hAnsi="Calibri Light" w:cs="Calibri Light"/>
      <w:color w:val="1F4D78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semiHidden/>
    <w:rPr>
      <w:rFonts w:ascii="Calibri Light" w:hAnsi="Calibri Light" w:cs="Calibri Light"/>
      <w:i/>
      <w:iCs/>
      <w:color w:val="1F4D78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rPr>
      <w:rFonts w:ascii="Calibri Light" w:hAnsi="Calibri Light" w:cs="Calibri Light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Pr>
      <w:rFonts w:ascii="Calibri Light" w:hAnsi="Calibri Light" w:cs="Calibri Light"/>
      <w:i/>
      <w:iCs/>
      <w:color w:val="272727"/>
      <w:sz w:val="21"/>
      <w:szCs w:val="21"/>
    </w:rPr>
  </w:style>
  <w:style w:type="character" w:customStyle="1" w:styleId="IntenseEmphasis1">
    <w:name w:val="Intense Emphasis1"/>
    <w:basedOn w:val="DefaultParagraphFont"/>
    <w:uiPriority w:val="99"/>
    <w:qFormat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99"/>
    <w:qFormat/>
    <w:pPr>
      <w:pBdr>
        <w:top w:val="single" w:sz="4" w:space="10" w:color="5B9BD5"/>
        <w:bottom w:val="single" w:sz="4" w:space="10" w:color="5B9BD5"/>
      </w:pBdr>
      <w:spacing w:before="360" w:after="360" w:line="360" w:lineRule="atLeast"/>
      <w:ind w:left="864" w:right="864" w:firstLine="709"/>
      <w:jc w:val="center"/>
    </w:pPr>
    <w:rPr>
      <w:rFonts w:ascii="Calibri" w:eastAsia="Calibri" w:hAnsi="Calibri" w:cs="Calibri"/>
      <w:i/>
      <w:iCs/>
      <w:sz w:val="20"/>
      <w:szCs w:val="20"/>
      <w:lang w:eastAsia="bg-BG"/>
    </w:rPr>
  </w:style>
  <w:style w:type="character" w:customStyle="1" w:styleId="IntenseQuoteChar">
    <w:name w:val="Intense Quote Char"/>
    <w:basedOn w:val="DefaultParagraphFont"/>
    <w:link w:val="IntenseQuote"/>
    <w:uiPriority w:val="99"/>
    <w:rPr>
      <w:i/>
      <w:iCs/>
    </w:rPr>
  </w:style>
  <w:style w:type="character" w:customStyle="1" w:styleId="IntenseReference1">
    <w:name w:val="Intense Reference1"/>
    <w:basedOn w:val="DefaultParagraphFont"/>
    <w:uiPriority w:val="99"/>
    <w:qFormat/>
    <w:rPr>
      <w:rFonts w:ascii="Times New Roman" w:hAnsi="Times New Roman" w:cs="Times New Roman"/>
      <w:b/>
      <w:bCs/>
      <w:smallCaps/>
      <w:color w:val="auto"/>
      <w:spacing w:val="5"/>
      <w:sz w:val="22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noteTextChar1">
    <w:name w:val="Footnote Text Char1"/>
    <w:link w:val="FootnoteText"/>
    <w:uiPriority w:val="99"/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rPr>
      <w:rFonts w:ascii="Times New Roman" w:hAnsi="Times New Roman"/>
      <w:sz w:val="20"/>
      <w:szCs w:val="20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rPr>
      <w:rFonts w:eastAsia="Times New Roman"/>
      <w:color w:val="5A5A5A"/>
      <w:spacing w:val="15"/>
    </w:rPr>
  </w:style>
  <w:style w:type="character" w:customStyle="1" w:styleId="artfword">
    <w:name w:val="art_f_word"/>
    <w:basedOn w:val="DefaultParagraphFont"/>
    <w:uiPriority w:val="99"/>
  </w:style>
  <w:style w:type="paragraph" w:customStyle="1" w:styleId="Revision1">
    <w:name w:val="Revision1"/>
    <w:hidden/>
    <w:uiPriority w:val="99"/>
    <w:semiHidden/>
    <w:rPr>
      <w:rFonts w:cs="Calibri"/>
      <w:sz w:val="22"/>
      <w:szCs w:val="22"/>
      <w:lang w:val="bg-BG"/>
    </w:rPr>
  </w:style>
  <w:style w:type="paragraph" w:styleId="ListParagraph">
    <w:name w:val="List Paragraph"/>
    <w:basedOn w:val="Normal"/>
    <w:link w:val="ListParagraphChar"/>
    <w:uiPriority w:val="34"/>
    <w:qFormat/>
    <w:pPr>
      <w:spacing w:line="360" w:lineRule="atLeast"/>
      <w:ind w:firstLine="709"/>
      <w:jc w:val="both"/>
    </w:pPr>
    <w:rPr>
      <w:rFonts w:eastAsia="Calibri"/>
      <w:lang w:eastAsia="bg-BG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hAnsi="Times New Roman" w:cs="Times New Roman"/>
      <w:sz w:val="24"/>
      <w:szCs w:val="24"/>
      <w:lang w:eastAsia="bg-BG"/>
    </w:rPr>
  </w:style>
  <w:style w:type="character" w:customStyle="1" w:styleId="SubtleEmphasis1">
    <w:name w:val="Subtle Emphasis1"/>
    <w:basedOn w:val="DefaultParagraphFont"/>
    <w:uiPriority w:val="99"/>
    <w:qFormat/>
    <w:rPr>
      <w:i/>
      <w:iCs/>
      <w:color w:val="404040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a">
    <w:name w:val="a"/>
    <w:basedOn w:val="Normal"/>
    <w:uiPriority w:val="99"/>
    <w:pPr>
      <w:spacing w:before="100" w:beforeAutospacing="1" w:after="100" w:afterAutospacing="1"/>
      <w:ind w:firstLine="709"/>
      <w:jc w:val="both"/>
    </w:pPr>
    <w:rPr>
      <w:lang w:eastAsia="bg-BG"/>
    </w:rPr>
  </w:style>
  <w:style w:type="paragraph" w:styleId="NoSpacing">
    <w:name w:val="No Spacing"/>
    <w:link w:val="NoSpacingChar"/>
    <w:uiPriority w:val="99"/>
    <w:qFormat/>
    <w:rPr>
      <w:rFonts w:ascii="Times New Roman" w:hAnsi="Times New Roman"/>
      <w:sz w:val="24"/>
      <w:szCs w:val="24"/>
      <w:lang w:val="bg-BG"/>
    </w:rPr>
  </w:style>
  <w:style w:type="character" w:customStyle="1" w:styleId="NoSpacingChar">
    <w:name w:val="No Spacing Char"/>
    <w:link w:val="NoSpacing"/>
    <w:uiPriority w:val="99"/>
    <w:rPr>
      <w:rFonts w:ascii="Times New Roman" w:hAnsi="Times New Roman" w:cs="Times New Roman"/>
      <w:sz w:val="24"/>
      <w:szCs w:val="24"/>
      <w:lang w:val="bg-BG" w:eastAsia="en-US"/>
    </w:rPr>
  </w:style>
  <w:style w:type="character" w:customStyle="1" w:styleId="TitleChar">
    <w:name w:val="Title Char"/>
    <w:basedOn w:val="DefaultParagraphFont"/>
    <w:link w:val="Title"/>
    <w:uiPriority w:val="99"/>
    <w:rPr>
      <w:rFonts w:ascii="Calibri Light" w:hAnsi="Calibri Light" w:cs="Calibri Light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99"/>
    <w:qFormat/>
    <w:pPr>
      <w:spacing w:before="200" w:line="360" w:lineRule="atLeast"/>
      <w:ind w:left="864" w:right="864" w:firstLine="709"/>
      <w:jc w:val="center"/>
    </w:pPr>
    <w:rPr>
      <w:rFonts w:eastAsia="Calibri"/>
      <w:i/>
      <w:iCs/>
      <w:color w:val="404040"/>
      <w:lang w:eastAsia="bg-BG"/>
    </w:rPr>
  </w:style>
  <w:style w:type="character" w:customStyle="1" w:styleId="QuoteChar">
    <w:name w:val="Quote Char"/>
    <w:basedOn w:val="DefaultParagraphFont"/>
    <w:link w:val="Quote"/>
    <w:uiPriority w:val="99"/>
    <w:rPr>
      <w:rFonts w:ascii="Times New Roman" w:hAnsi="Times New Roman" w:cs="Times New Roman"/>
      <w:i/>
      <w:iCs/>
      <w:color w:val="404040"/>
      <w:sz w:val="24"/>
      <w:szCs w:val="24"/>
    </w:rPr>
  </w:style>
  <w:style w:type="character" w:customStyle="1" w:styleId="SubtleReference1">
    <w:name w:val="Subtle Reference1"/>
    <w:basedOn w:val="DefaultParagraphFont"/>
    <w:uiPriority w:val="99"/>
    <w:qFormat/>
    <w:rPr>
      <w:smallCaps/>
      <w:color w:val="5A5A5A"/>
    </w:rPr>
  </w:style>
  <w:style w:type="character" w:customStyle="1" w:styleId="BookTitle1">
    <w:name w:val="Book Title1"/>
    <w:basedOn w:val="DefaultParagraphFont"/>
    <w:uiPriority w:val="99"/>
    <w:qFormat/>
    <w:rPr>
      <w:b/>
      <w:bCs/>
      <w:i/>
      <w:iCs/>
      <w:spacing w:val="5"/>
    </w:rPr>
  </w:style>
  <w:style w:type="paragraph" w:customStyle="1" w:styleId="TOCHeading1">
    <w:name w:val="TOC Heading1"/>
    <w:basedOn w:val="Heading1"/>
    <w:next w:val="Normal"/>
    <w:link w:val="TOCHeadingChar"/>
    <w:uiPriority w:val="99"/>
    <w:qFormat/>
    <w:pPr>
      <w:outlineLvl w:val="9"/>
    </w:pPr>
    <w:rPr>
      <w:rFonts w:ascii="Calibri Light" w:hAnsi="Calibri Light" w:cs="Calibri Light"/>
      <w:b w:val="0"/>
      <w:bCs w:val="0"/>
      <w:color w:val="2E74B5"/>
    </w:rPr>
  </w:style>
  <w:style w:type="character" w:customStyle="1" w:styleId="TOCHeadingChar">
    <w:name w:val="TOC Heading Char"/>
    <w:link w:val="TOCHeading1"/>
    <w:uiPriority w:val="99"/>
    <w:rPr>
      <w:rFonts w:ascii="Calibri Light" w:eastAsia="Times New Roman" w:hAnsi="Calibri Light" w:cs="Calibri Light"/>
      <w:color w:val="2E74B5"/>
      <w:sz w:val="28"/>
      <w:szCs w:val="28"/>
      <w:lang w:eastAsia="en-US"/>
    </w:rPr>
  </w:style>
  <w:style w:type="character" w:customStyle="1" w:styleId="apple-style-span">
    <w:name w:val="apple-style-span"/>
    <w:basedOn w:val="DefaultParagraphFont"/>
    <w:uiPriority w:val="99"/>
  </w:style>
  <w:style w:type="table" w:customStyle="1" w:styleId="410">
    <w:name w:val="Обикновена таблица 41"/>
    <w:uiPriority w:val="99"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Обикновена таблица 31"/>
    <w:uiPriority w:val="99"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Списък2"/>
    <w:basedOn w:val="ListParagraph"/>
    <w:link w:val="20"/>
    <w:uiPriority w:val="99"/>
    <w:pPr>
      <w:numPr>
        <w:numId w:val="4"/>
      </w:numPr>
      <w:ind w:left="1066" w:hanging="357"/>
    </w:pPr>
    <w:rPr>
      <w:i/>
      <w:iCs/>
    </w:rPr>
  </w:style>
  <w:style w:type="character" w:customStyle="1" w:styleId="20">
    <w:name w:val="Списък2 Знак"/>
    <w:link w:val="2"/>
    <w:uiPriority w:val="99"/>
    <w:rPr>
      <w:rFonts w:ascii="Times New Roman" w:hAnsi="Times New Roman"/>
      <w:i/>
      <w:iCs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</w:style>
  <w:style w:type="character" w:customStyle="1" w:styleId="FontStyle108">
    <w:name w:val="Font Style108"/>
    <w:uiPriority w:val="99"/>
    <w:rPr>
      <w:rFonts w:ascii="Times New Roman" w:hAnsi="Times New Roman" w:cs="Times New Roman"/>
      <w:sz w:val="26"/>
      <w:szCs w:val="26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Bibliography1">
    <w:name w:val="Bibliography1"/>
    <w:basedOn w:val="Normal"/>
    <w:next w:val="Normal"/>
    <w:uiPriority w:val="99"/>
    <w:pPr>
      <w:spacing w:line="360" w:lineRule="atLeast"/>
      <w:ind w:firstLine="709"/>
      <w:jc w:val="both"/>
    </w:pPr>
    <w:rPr>
      <w:rFonts w:eastAsia="Calibri"/>
    </w:rPr>
  </w:style>
  <w:style w:type="paragraph" w:customStyle="1" w:styleId="a0">
    <w:name w:val="Описание"/>
    <w:basedOn w:val="Normal"/>
    <w:link w:val="a1"/>
    <w:uiPriority w:val="99"/>
    <w:pPr>
      <w:spacing w:line="360" w:lineRule="atLeast"/>
      <w:ind w:firstLine="708"/>
      <w:jc w:val="both"/>
    </w:pPr>
    <w:rPr>
      <w:rFonts w:eastAsia="Calibri"/>
      <w:b/>
      <w:bCs/>
      <w:u w:val="single"/>
      <w:lang w:eastAsia="bg-BG"/>
    </w:rPr>
  </w:style>
  <w:style w:type="character" w:customStyle="1" w:styleId="a1">
    <w:name w:val="Описание Знак"/>
    <w:link w:val="a0"/>
    <w:uiPriority w:val="99"/>
    <w:rPr>
      <w:rFonts w:ascii="Times New Roman" w:hAnsi="Times New Roman" w:cs="Times New Roman"/>
      <w:b/>
      <w:bCs/>
      <w:sz w:val="24"/>
      <w:szCs w:val="24"/>
      <w:u w:val="single"/>
      <w:lang w:val="en-US"/>
    </w:rPr>
  </w:style>
  <w:style w:type="paragraph" w:customStyle="1" w:styleId="noindent">
    <w:name w:val="noindent"/>
    <w:basedOn w:val="Normal"/>
    <w:uiPriority w:val="99"/>
    <w:pPr>
      <w:spacing w:before="120" w:line="288" w:lineRule="atLeast"/>
    </w:pPr>
    <w:rPr>
      <w:rFonts w:ascii="Tahoma" w:hAnsi="Tahoma" w:cs="Tahoma"/>
      <w:color w:val="333333"/>
      <w:sz w:val="17"/>
      <w:szCs w:val="17"/>
      <w:lang w:eastAsia="bg-BG"/>
    </w:rPr>
  </w:style>
  <w:style w:type="character" w:customStyle="1" w:styleId="hps">
    <w:name w:val="hps"/>
    <w:basedOn w:val="DefaultParagraphFont"/>
    <w:uiPriority w:val="99"/>
  </w:style>
  <w:style w:type="character" w:customStyle="1" w:styleId="atn">
    <w:name w:val="atn"/>
    <w:basedOn w:val="DefaultParagraphFont"/>
    <w:uiPriority w:val="99"/>
  </w:style>
  <w:style w:type="character" w:customStyle="1" w:styleId="1">
    <w:name w:val="Заглавие #1_"/>
    <w:link w:val="10"/>
    <w:uiPriority w:val="99"/>
    <w:rPr>
      <w:sz w:val="28"/>
      <w:szCs w:val="28"/>
      <w:shd w:val="clear" w:color="auto" w:fill="FFFFFF"/>
    </w:rPr>
  </w:style>
  <w:style w:type="paragraph" w:customStyle="1" w:styleId="10">
    <w:name w:val="Заглавие #1"/>
    <w:basedOn w:val="Normal"/>
    <w:link w:val="1"/>
    <w:uiPriority w:val="99"/>
    <w:pPr>
      <w:widowControl w:val="0"/>
      <w:shd w:val="clear" w:color="auto" w:fill="FFFFFF"/>
      <w:spacing w:after="300" w:line="240" w:lineRule="atLeast"/>
      <w:jc w:val="center"/>
      <w:outlineLvl w:val="0"/>
    </w:pPr>
    <w:rPr>
      <w:rFonts w:ascii="Calibri" w:eastAsia="Calibri" w:hAnsi="Calibri" w:cs="Calibri"/>
      <w:sz w:val="28"/>
      <w:szCs w:val="28"/>
      <w:lang w:eastAsia="bg-BG"/>
    </w:rPr>
  </w:style>
  <w:style w:type="paragraph" w:customStyle="1" w:styleId="CharCharCharCharCharCharCharCharCharCharCharCharCharCharChar">
    <w:name w:val="Char Char Char Char Char Char Char Char Char Char Char Char Char Char Char"/>
    <w:basedOn w:val="Normal"/>
    <w:uiPriority w:val="99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1">
    <w:name w:val="Заглавие 41"/>
    <w:basedOn w:val="Normal"/>
    <w:next w:val="Heading3"/>
    <w:link w:val="4Char"/>
    <w:uiPriority w:val="99"/>
    <w:pPr>
      <w:numPr>
        <w:ilvl w:val="1"/>
        <w:numId w:val="2"/>
      </w:numPr>
      <w:spacing w:line="360" w:lineRule="auto"/>
      <w:jc w:val="both"/>
      <w:outlineLvl w:val="3"/>
    </w:pPr>
    <w:rPr>
      <w:rFonts w:eastAsia="Calibri"/>
      <w:b/>
      <w:bCs/>
    </w:rPr>
  </w:style>
  <w:style w:type="character" w:customStyle="1" w:styleId="4Char">
    <w:name w:val="Заглавие 4 Char"/>
    <w:link w:val="41"/>
    <w:uiPriority w:val="99"/>
    <w:rPr>
      <w:rFonts w:ascii="Times New Roman" w:hAnsi="Times New Roman"/>
      <w:b/>
      <w:bCs/>
      <w:sz w:val="24"/>
      <w:szCs w:val="24"/>
      <w:lang w:eastAsia="en-US"/>
    </w:rPr>
  </w:style>
  <w:style w:type="paragraph" w:customStyle="1" w:styleId="Style1">
    <w:name w:val="Style1"/>
    <w:basedOn w:val="Heading3"/>
    <w:next w:val="Normal"/>
  </w:style>
  <w:style w:type="paragraph" w:customStyle="1" w:styleId="Style2">
    <w:name w:val="Style2"/>
    <w:basedOn w:val="Heading3"/>
  </w:style>
  <w:style w:type="paragraph" w:customStyle="1" w:styleId="4">
    <w:name w:val="заглавие4"/>
    <w:basedOn w:val="41"/>
    <w:next w:val="Normal"/>
    <w:link w:val="4Char0"/>
    <w:uiPriority w:val="99"/>
    <w:pPr>
      <w:keepNext/>
      <w:keepLines/>
      <w:numPr>
        <w:ilvl w:val="3"/>
        <w:numId w:val="1"/>
      </w:numPr>
      <w:spacing w:before="120"/>
      <w:jc w:val="left"/>
    </w:pPr>
  </w:style>
  <w:style w:type="character" w:customStyle="1" w:styleId="4Char0">
    <w:name w:val="заглавие4 Char"/>
    <w:link w:val="4"/>
    <w:uiPriority w:val="99"/>
    <w:rPr>
      <w:rFonts w:ascii="Times New Roman" w:hAnsi="Times New Roman"/>
      <w:b/>
      <w:bCs/>
      <w:sz w:val="24"/>
      <w:szCs w:val="24"/>
      <w:lang w:eastAsia="en-US"/>
    </w:rPr>
  </w:style>
  <w:style w:type="paragraph" w:customStyle="1" w:styleId="30">
    <w:name w:val="Заглавие3"/>
    <w:basedOn w:val="Normal"/>
    <w:next w:val="10"/>
    <w:link w:val="3Char"/>
    <w:uiPriority w:val="99"/>
    <w:pPr>
      <w:spacing w:line="360" w:lineRule="atLeast"/>
      <w:ind w:left="717" w:hanging="360"/>
      <w:jc w:val="both"/>
    </w:pPr>
    <w:rPr>
      <w:b/>
      <w:bCs/>
      <w:sz w:val="26"/>
      <w:szCs w:val="26"/>
      <w:u w:val="single"/>
    </w:rPr>
  </w:style>
  <w:style w:type="character" w:customStyle="1" w:styleId="3Char">
    <w:name w:val="Заглавие3 Char"/>
    <w:link w:val="30"/>
    <w:uiPriority w:val="99"/>
    <w:rPr>
      <w:rFonts w:ascii="Times New Roman" w:hAnsi="Times New Roman" w:cs="Times New Roman"/>
      <w:b/>
      <w:bCs/>
      <w:sz w:val="26"/>
      <w:szCs w:val="26"/>
      <w:u w:val="single"/>
      <w:lang w:eastAsia="en-US"/>
    </w:rPr>
  </w:style>
  <w:style w:type="paragraph" w:customStyle="1" w:styleId="3">
    <w:name w:val="заглавие3"/>
    <w:basedOn w:val="Heading2"/>
    <w:link w:val="3Char0"/>
    <w:uiPriority w:val="99"/>
    <w:pPr>
      <w:numPr>
        <w:ilvl w:val="2"/>
      </w:numPr>
    </w:pPr>
  </w:style>
  <w:style w:type="character" w:customStyle="1" w:styleId="3Char0">
    <w:name w:val="заглавие3 Char"/>
    <w:link w:val="3"/>
    <w:uiPriority w:val="99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customStyle="1" w:styleId="Style3">
    <w:name w:val="Style3"/>
    <w:basedOn w:val="TOCHeading1"/>
    <w:link w:val="Style3Char"/>
  </w:style>
  <w:style w:type="character" w:customStyle="1" w:styleId="Style3Char">
    <w:name w:val="Style3 Char"/>
    <w:link w:val="Style3"/>
    <w:rPr>
      <w:rFonts w:ascii="Calibri Light" w:eastAsia="Times New Roman" w:hAnsi="Calibri Light" w:cs="Calibri Light"/>
      <w:color w:val="2E74B5"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bg-BG" w:eastAsia="bg-BG"/>
    </w:rPr>
  </w:style>
  <w:style w:type="paragraph" w:customStyle="1" w:styleId="a2">
    <w:name w:val="Стил"/>
    <w:uiPriority w:val="99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cs="Calibri"/>
      <w:sz w:val="24"/>
      <w:szCs w:val="24"/>
      <w:lang w:val="bg-BG" w:eastAsia="bg-BG"/>
    </w:rPr>
  </w:style>
  <w:style w:type="paragraph" w:customStyle="1" w:styleId="Tiret0">
    <w:name w:val="Tiret 0"/>
    <w:basedOn w:val="Normal"/>
    <w:uiPriority w:val="99"/>
    <w:pPr>
      <w:numPr>
        <w:numId w:val="5"/>
      </w:numPr>
      <w:spacing w:before="120"/>
      <w:jc w:val="both"/>
    </w:pPr>
    <w:rPr>
      <w:rFonts w:ascii="Calibri" w:eastAsia="Calibri" w:hAnsi="Calibri" w:cs="Calibri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Pr>
      <w:rFonts w:ascii="Calibri" w:hAnsi="Calibri" w:cs="Calibri"/>
      <w:sz w:val="24"/>
      <w:szCs w:val="24"/>
      <w:lang w:val="bg-BG" w:eastAsia="bg-BG"/>
    </w:rPr>
  </w:style>
  <w:style w:type="paragraph" w:customStyle="1" w:styleId="CharCharChar">
    <w:name w:val="Char Char Char"/>
    <w:basedOn w:val="Normal"/>
    <w:uiPriority w:val="99"/>
    <w:pPr>
      <w:tabs>
        <w:tab w:val="left" w:pos="709"/>
      </w:tabs>
    </w:pPr>
    <w:rPr>
      <w:rFonts w:ascii="Tahoma" w:eastAsia="Calibri" w:hAnsi="Tahoma" w:cs="Tahoma"/>
      <w:lang w:val="pl-PL" w:eastAsia="pl-PL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uiPriority w:val="99"/>
    <w:pPr>
      <w:tabs>
        <w:tab w:val="left" w:pos="709"/>
      </w:tabs>
    </w:pPr>
    <w:rPr>
      <w:rFonts w:ascii="Tahoma" w:eastAsia="Calibri" w:hAnsi="Tahoma" w:cs="Tahoma"/>
      <w:lang w:val="pl-PL" w:eastAsia="pl-PL"/>
    </w:rPr>
  </w:style>
  <w:style w:type="paragraph" w:customStyle="1" w:styleId="StyleBefore6ptChar">
    <w:name w:val="Style Before:  6 pt Char"/>
    <w:basedOn w:val="Normal"/>
    <w:link w:val="StyleBefore6ptCharChar"/>
    <w:uiPriority w:val="99"/>
    <w:pPr>
      <w:spacing w:before="120"/>
      <w:jc w:val="both"/>
    </w:pPr>
    <w:rPr>
      <w:rFonts w:ascii="Calibri" w:eastAsia="Calibri" w:hAnsi="Calibri" w:cs="Calibri"/>
      <w:lang w:eastAsia="bg-BG"/>
    </w:rPr>
  </w:style>
  <w:style w:type="character" w:customStyle="1" w:styleId="StyleBefore6ptCharChar">
    <w:name w:val="Style Before:  6 pt Char Char"/>
    <w:link w:val="StyleBefore6ptChar"/>
    <w:uiPriority w:val="99"/>
    <w:rPr>
      <w:sz w:val="24"/>
      <w:szCs w:val="24"/>
      <w:lang w:val="bg-BG"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urier New" w:hAnsi="Courier New" w:cs="Courier New"/>
      <w:sz w:val="20"/>
      <w:szCs w:val="20"/>
      <w:lang w:eastAsia="en-US"/>
    </w:rPr>
  </w:style>
  <w:style w:type="paragraph" w:customStyle="1" w:styleId="21">
    <w:name w:val="Основен текст (2)"/>
    <w:basedOn w:val="Normal"/>
    <w:uiPriority w:val="99"/>
    <w:pPr>
      <w:widowControl w:val="0"/>
      <w:shd w:val="clear" w:color="auto" w:fill="FFFFFF"/>
    </w:pPr>
    <w:rPr>
      <w:rFonts w:ascii="Calibri" w:eastAsia="Calibri" w:hAnsi="Calibri" w:cs="Calibri"/>
      <w:sz w:val="22"/>
      <w:szCs w:val="22"/>
    </w:rPr>
  </w:style>
  <w:style w:type="paragraph" w:customStyle="1" w:styleId="22">
    <w:name w:val="2"/>
    <w:basedOn w:val="Normal"/>
    <w:pPr>
      <w:tabs>
        <w:tab w:val="left" w:pos="709"/>
      </w:tabs>
    </w:pPr>
    <w:rPr>
      <w:rFonts w:ascii="Tahoma" w:eastAsia="Calibri" w:hAnsi="Tahoma" w:cs="Tahoma"/>
      <w:lang w:val="pl-PL" w:eastAsia="pl-PL"/>
    </w:rPr>
  </w:style>
  <w:style w:type="character" w:customStyle="1" w:styleId="2CharChar">
    <w:name w:val="Основен текст (2)_ Char Char"/>
    <w:link w:val="2Char"/>
    <w:uiPriority w:val="99"/>
    <w:rPr>
      <w:rFonts w:eastAsia="Arial Unicode MS"/>
      <w:sz w:val="24"/>
      <w:szCs w:val="24"/>
      <w:lang w:val="bg-BG" w:eastAsia="bg-BG"/>
    </w:rPr>
  </w:style>
  <w:style w:type="paragraph" w:customStyle="1" w:styleId="2Char">
    <w:name w:val="Основен текст (2)_ Char"/>
    <w:basedOn w:val="Normal"/>
    <w:link w:val="2CharChar"/>
    <w:uiPriority w:val="99"/>
    <w:pPr>
      <w:widowControl w:val="0"/>
      <w:shd w:val="clear" w:color="auto" w:fill="FFFFFF"/>
      <w:spacing w:before="360" w:line="274" w:lineRule="exact"/>
      <w:jc w:val="both"/>
    </w:pPr>
    <w:rPr>
      <w:rFonts w:ascii="Calibri" w:eastAsia="Arial Unicode MS" w:hAnsi="Calibri" w:cs="Calibri"/>
      <w:lang w:eastAsia="bg-BG"/>
    </w:rPr>
  </w:style>
  <w:style w:type="paragraph" w:customStyle="1" w:styleId="23">
    <w:name w:val="Основен текст (2)_"/>
    <w:basedOn w:val="Normal"/>
    <w:uiPriority w:val="99"/>
    <w:pPr>
      <w:widowControl w:val="0"/>
      <w:shd w:val="clear" w:color="auto" w:fill="FFFFFF"/>
      <w:spacing w:before="360" w:line="274" w:lineRule="exact"/>
      <w:jc w:val="both"/>
    </w:pPr>
    <w:rPr>
      <w:rFonts w:eastAsia="Arial Unicode MS"/>
      <w:lang w:eastAsia="bg-BG"/>
    </w:rPr>
  </w:style>
  <w:style w:type="paragraph" w:customStyle="1" w:styleId="CharCharCharCharCharCharCharCharCharCharCharCharCharCharCharChar1">
    <w:name w:val="Char Char Char Char Char Char Char Char Char Char Char Char Char Char Char Char1"/>
    <w:basedOn w:val="Normal"/>
    <w:uiPriority w:val="99"/>
    <w:pPr>
      <w:tabs>
        <w:tab w:val="left" w:pos="709"/>
      </w:tabs>
    </w:pPr>
    <w:rPr>
      <w:rFonts w:ascii="Tahoma" w:eastAsia="Calibri" w:hAnsi="Tahoma" w:cs="Tahoma"/>
      <w:lang w:val="pl-PL" w:eastAsia="pl-PL"/>
    </w:rPr>
  </w:style>
  <w:style w:type="character" w:customStyle="1" w:styleId="24">
    <w:name w:val="Заглавие #2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bg-BG" w:eastAsia="bg-BG"/>
    </w:rPr>
  </w:style>
  <w:style w:type="paragraph" w:customStyle="1" w:styleId="CharChar4CharChar">
    <w:name w:val="Char Char4 Знак Знак Char Char Знак Знак"/>
    <w:basedOn w:val="Normal"/>
    <w:uiPriority w:val="99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table" w:customStyle="1" w:styleId="PlainTable21">
    <w:name w:val="Plain Table 21"/>
    <w:uiPriority w:val="99"/>
    <w:rPr>
      <w:rFonts w:cs="Calibri"/>
      <w:lang w:val="bg-BG" w:eastAsia="bg-BG"/>
    </w:rPr>
    <w:tblPr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CharCharChar1">
    <w:name w:val="Char Char Char1"/>
    <w:basedOn w:val="Normal"/>
    <w:uiPriority w:val="99"/>
    <w:pPr>
      <w:tabs>
        <w:tab w:val="left" w:pos="709"/>
      </w:tabs>
    </w:pPr>
    <w:rPr>
      <w:rFonts w:ascii="Tahoma" w:hAnsi="Tahoma" w:cs="Tahoma"/>
      <w:lang w:val="pl-PL" w:eastAsia="pl-PL"/>
    </w:rPr>
  </w:style>
  <w:style w:type="table" w:customStyle="1" w:styleId="TableGrid1">
    <w:name w:val="Table Grid1"/>
    <w:uiPriority w:val="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CharCharCharCharCharCharCharChar1">
    <w:name w:val="Char Char Char Char Char Char Char Char Char Char Char Char Char Char Char1"/>
    <w:basedOn w:val="Normal"/>
    <w:uiPriority w:val="99"/>
    <w:pPr>
      <w:tabs>
        <w:tab w:val="left" w:pos="709"/>
      </w:tabs>
    </w:pPr>
    <w:rPr>
      <w:rFonts w:ascii="Tahoma" w:hAnsi="Tahoma" w:cs="Tahoma"/>
      <w:lang w:val="pl-PL" w:eastAsia="pl-PL"/>
    </w:rPr>
  </w:style>
  <w:style w:type="table" w:customStyle="1" w:styleId="TableGrid11">
    <w:name w:val="Table Grid11"/>
    <w:uiPriority w:val="99"/>
    <w:pPr>
      <w:spacing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uiPriority w:val="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uiPriority w:val="99"/>
    <w:pPr>
      <w:tabs>
        <w:tab w:val="left" w:pos="709"/>
      </w:tabs>
    </w:pPr>
    <w:rPr>
      <w:rFonts w:ascii="Tahoma" w:hAnsi="Tahoma" w:cs="Tahoma"/>
      <w:lang w:val="pl-PL" w:eastAsia="pl-PL"/>
    </w:rPr>
  </w:style>
  <w:style w:type="table" w:customStyle="1" w:styleId="TableGrid4">
    <w:name w:val="Table Grid4"/>
    <w:uiPriority w:val="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FN">
    <w:name w:val="Знак сноски-FN"/>
    <w:basedOn w:val="Normal"/>
    <w:pPr>
      <w:spacing w:after="160" w:line="240" w:lineRule="exact"/>
      <w:jc w:val="both"/>
    </w:pPr>
    <w:rPr>
      <w:rFonts w:eastAsia="Calibri"/>
      <w:vertAlign w:val="superscript"/>
    </w:rPr>
  </w:style>
  <w:style w:type="character" w:customStyle="1" w:styleId="Char1">
    <w:name w:val="Char1"/>
    <w:basedOn w:val="DefaultParagraphFont"/>
    <w:uiPriority w:val="99"/>
  </w:style>
  <w:style w:type="paragraph" w:customStyle="1" w:styleId="FootnoteReferenceLVL62Char">
    <w:name w:val="Footnote Reference_LVL62 Char"/>
    <w:basedOn w:val="Normal"/>
    <w:uiPriority w:val="99"/>
    <w:pPr>
      <w:spacing w:after="160" w:line="240" w:lineRule="exact"/>
      <w:jc w:val="both"/>
    </w:pPr>
    <w:rPr>
      <w:rFonts w:ascii="Calibri" w:eastAsia="Calibri" w:hAnsi="Calibri"/>
      <w:sz w:val="20"/>
      <w:szCs w:val="20"/>
      <w:vertAlign w:val="superscript"/>
      <w:lang w:eastAsia="bg-BG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noteTextChar2">
    <w:name w:val="Footnote Text Char2"/>
    <w:semiHidden/>
    <w:rPr>
      <w:sz w:val="20"/>
    </w:rPr>
  </w:style>
  <w:style w:type="paragraph" w:customStyle="1" w:styleId="oChar">
    <w:name w:val="o Char"/>
    <w:basedOn w:val="Normal"/>
    <w:pPr>
      <w:spacing w:after="160" w:line="240" w:lineRule="exact"/>
      <w:jc w:val="both"/>
    </w:pPr>
    <w:rPr>
      <w:rFonts w:ascii="Calibri" w:hAnsi="Calibri" w:cs="Calibri"/>
      <w:sz w:val="20"/>
      <w:szCs w:val="20"/>
      <w:vertAlign w:val="superscript"/>
      <w:lang w:eastAsia="bg-BG"/>
    </w:rPr>
  </w:style>
  <w:style w:type="character" w:customStyle="1" w:styleId="StyleBefore6ptCharCharChar">
    <w:name w:val="Style Before:  6 pt Char Char Char"/>
    <w:rPr>
      <w:sz w:val="24"/>
      <w:lang w:val="bg-BG" w:eastAsia="bg-BG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val="bg-BG" w:eastAsia="zh-CN" w:bidi="hi-IN"/>
    </w:rPr>
  </w:style>
  <w:style w:type="paragraph" w:customStyle="1" w:styleId="CharCharCharCharCharCharCharCharCharCharCharCharCharCharChar2">
    <w:name w:val="Char Char Char Char Char Char Char Char Char Char Char Char Char Char Char2"/>
    <w:basedOn w:val="Normal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a3">
    <w:name w:val="Основен текст_"/>
    <w:basedOn w:val="DefaultParagraphFont"/>
    <w:link w:val="a4"/>
    <w:rPr>
      <w:rFonts w:ascii="Times New Roman" w:eastAsia="Times New Roman" w:hAnsi="Times New Roman"/>
      <w:shd w:val="clear" w:color="auto" w:fill="FFFFFF"/>
    </w:rPr>
  </w:style>
  <w:style w:type="paragraph" w:customStyle="1" w:styleId="a4">
    <w:name w:val="Основен текст"/>
    <w:basedOn w:val="Normal"/>
    <w:link w:val="a3"/>
    <w:pPr>
      <w:widowControl w:val="0"/>
      <w:shd w:val="clear" w:color="auto" w:fill="FFFFFF"/>
      <w:spacing w:line="262" w:lineRule="auto"/>
      <w:ind w:firstLine="20"/>
    </w:pPr>
    <w:rPr>
      <w:sz w:val="22"/>
      <w:szCs w:val="22"/>
      <w:lang w:eastAsia="bg-BG"/>
    </w:rPr>
  </w:style>
  <w:style w:type="paragraph" w:customStyle="1" w:styleId="CharCharCharChar">
    <w:name w:val="Char Char Char Char"/>
    <w:basedOn w:val="Normal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col2name">
    <w:name w:val="col2name"/>
    <w:basedOn w:val="DefaultParagraphFont"/>
  </w:style>
  <w:style w:type="paragraph" w:customStyle="1" w:styleId="ftref1">
    <w:name w:val="ftref1"/>
    <w:basedOn w:val="Normal"/>
    <w:pPr>
      <w:spacing w:after="160" w:line="240" w:lineRule="exact"/>
      <w:jc w:val="both"/>
    </w:pPr>
    <w:rPr>
      <w:sz w:val="20"/>
      <w:szCs w:val="20"/>
      <w:vertAlign w:val="superscript"/>
      <w:lang w:val="en-GB" w:eastAsia="en-GB"/>
    </w:rPr>
  </w:style>
  <w:style w:type="table" w:customStyle="1" w:styleId="Table021">
    <w:name w:val="Table_021"/>
    <w:basedOn w:val="TableNormal"/>
    <w:uiPriority w:val="99"/>
    <w:rPr>
      <w:rFonts w:ascii="Times New Roman" w:eastAsia="Times New Roman" w:hAnsi="Times New Roman"/>
    </w:rPr>
    <w:tblPr>
      <w:tblBorders>
        <w:top w:val="single" w:sz="18" w:space="0" w:color="17365D"/>
        <w:bottom w:val="single" w:sz="18" w:space="0" w:color="17365D"/>
        <w:insideH w:val="single" w:sz="2" w:space="0" w:color="17365D"/>
      </w:tblBorders>
    </w:tblPr>
  </w:style>
  <w:style w:type="paragraph" w:customStyle="1" w:styleId="StyleBefore6pt">
    <w:name w:val="Style Before:  6 pt"/>
    <w:basedOn w:val="Normal"/>
    <w:pPr>
      <w:spacing w:before="120"/>
      <w:jc w:val="both"/>
    </w:pPr>
    <w:rPr>
      <w:szCs w:val="20"/>
      <w:lang w:eastAsia="bg-BG"/>
    </w:rPr>
  </w:style>
  <w:style w:type="paragraph" w:customStyle="1" w:styleId="HEADING0">
    <w:name w:val="HEADING 0"/>
    <w:basedOn w:val="Heading1"/>
    <w:link w:val="HEADING0Char"/>
    <w:qFormat/>
    <w:pPr>
      <w:numPr>
        <w:numId w:val="6"/>
      </w:numPr>
      <w:ind w:left="720"/>
    </w:pPr>
    <w:rPr>
      <w:bCs w:val="0"/>
    </w:rPr>
  </w:style>
  <w:style w:type="character" w:customStyle="1" w:styleId="HEADING0Char">
    <w:name w:val="HEADING 0 Char"/>
    <w:basedOn w:val="Heading1Char"/>
    <w:link w:val="HEADING0"/>
    <w:rPr>
      <w:rFonts w:ascii="Times New Roman" w:eastAsia="Times New Roman" w:hAnsi="Times New Roman"/>
      <w:b/>
      <w:bCs w:val="0"/>
      <w:sz w:val="28"/>
      <w:szCs w:val="28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ListParagraph1">
    <w:name w:val="List Paragraph1"/>
    <w:basedOn w:val="Normal"/>
    <w:uiPriority w:val="34"/>
    <w:qFormat/>
    <w:pPr>
      <w:ind w:left="720"/>
    </w:pPr>
    <w:rPr>
      <w:lang w:eastAsia="bg-BG"/>
    </w:rPr>
  </w:style>
  <w:style w:type="paragraph" w:customStyle="1" w:styleId="Before6">
    <w:name w:val="Before 6"/>
    <w:basedOn w:val="Normal"/>
    <w:pPr>
      <w:spacing w:before="120"/>
      <w:jc w:val="both"/>
    </w:pPr>
    <w:rPr>
      <w:rFonts w:eastAsia="Calibri"/>
      <w:bCs/>
      <w:lang w:val="ru-RU"/>
    </w:rPr>
  </w:style>
  <w:style w:type="paragraph" w:customStyle="1" w:styleId="BVIfnrChar">
    <w:name w:val="BVI fnr Char"/>
    <w:basedOn w:val="Normal"/>
    <w:pPr>
      <w:spacing w:after="160" w:line="240" w:lineRule="exact"/>
    </w:pPr>
    <w:rPr>
      <w:sz w:val="20"/>
      <w:szCs w:val="20"/>
      <w:vertAlign w:val="superscript"/>
      <w:lang w:eastAsia="bg-BG"/>
    </w:rPr>
  </w:style>
  <w:style w:type="character" w:customStyle="1" w:styleId="FontStyle12">
    <w:name w:val="Font Style12"/>
    <w:basedOn w:val="DefaultParagraphFont"/>
    <w:rPr>
      <w:rFonts w:ascii="Microsoft Sans Serif" w:hAnsi="Microsoft Sans Serif" w:cs="Microsoft Sans Serif"/>
      <w:sz w:val="22"/>
      <w:szCs w:val="22"/>
    </w:rPr>
  </w:style>
  <w:style w:type="character" w:customStyle="1" w:styleId="FontStyle13">
    <w:name w:val="Font Style13"/>
    <w:basedOn w:val="DefaultParagraphFont"/>
    <w:rPr>
      <w:rFonts w:ascii="Microsoft Sans Serif" w:hAnsi="Microsoft Sans Serif" w:cs="Microsoft Sans Serif"/>
      <w:sz w:val="22"/>
      <w:szCs w:val="22"/>
    </w:rPr>
  </w:style>
  <w:style w:type="paragraph" w:customStyle="1" w:styleId="Style4">
    <w:name w:val="Style4"/>
    <w:basedOn w:val="Normal"/>
    <w:pPr>
      <w:widowControl w:val="0"/>
      <w:autoSpaceDE w:val="0"/>
      <w:autoSpaceDN w:val="0"/>
      <w:adjustRightInd w:val="0"/>
    </w:pPr>
    <w:rPr>
      <w:rFonts w:ascii="Microsoft Sans Serif" w:hAnsi="Microsoft Sans Serif"/>
      <w:lang w:eastAsia="bg-BG"/>
    </w:rPr>
  </w:style>
  <w:style w:type="paragraph" w:customStyle="1" w:styleId="Style5">
    <w:name w:val="Style5"/>
    <w:basedOn w:val="Normal"/>
    <w:pPr>
      <w:widowControl w:val="0"/>
      <w:autoSpaceDE w:val="0"/>
      <w:autoSpaceDN w:val="0"/>
      <w:adjustRightInd w:val="0"/>
    </w:pPr>
    <w:rPr>
      <w:rFonts w:ascii="Microsoft Sans Serif" w:hAnsi="Microsoft Sans Serif"/>
      <w:lang w:eastAsia="bg-BG"/>
    </w:rPr>
  </w:style>
  <w:style w:type="character" w:customStyle="1" w:styleId="FontStyle11">
    <w:name w:val="Font Style11"/>
    <w:basedOn w:val="DefaultParagraphFont"/>
    <w:rPr>
      <w:rFonts w:ascii="Franklin Gothic Medium Cond" w:hAnsi="Franklin Gothic Medium Cond" w:cs="Franklin Gothic Medium Cond"/>
      <w:i/>
      <w:iCs/>
      <w:spacing w:val="20"/>
      <w:sz w:val="22"/>
      <w:szCs w:val="22"/>
    </w:rPr>
  </w:style>
  <w:style w:type="character" w:customStyle="1" w:styleId="FontStyle15">
    <w:name w:val="Font Style15"/>
    <w:basedOn w:val="DefaultParagraphFont"/>
    <w:rPr>
      <w:rFonts w:ascii="Times New Roman" w:hAnsi="Times New Roman" w:cs="Times New Roman"/>
      <w:sz w:val="22"/>
      <w:szCs w:val="22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my-2">
    <w:name w:val="my-2"/>
    <w:basedOn w:val="Normal"/>
    <w:pPr>
      <w:spacing w:before="100" w:beforeAutospacing="1" w:after="100" w:afterAutospacing="1"/>
    </w:pPr>
    <w:rPr>
      <w:lang w:eastAsia="bg-BG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3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gregio.eu" TargetMode="External"/><Relationship Id="rId1" Type="http://schemas.openxmlformats.org/officeDocument/2006/relationships/hyperlink" Target="http://www.eufunds.bg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gregio.eu" TargetMode="External"/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1F5691-C6B3-4E14-AC6C-4E3230F71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2746</Words>
  <Characters>15654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Национална Концепция за Регионално и Пространствено Развитие</vt:lpstr>
    </vt:vector>
  </TitlesOfParts>
  <Company>НЦТР</Company>
  <LinksUpToDate>false</LinksUpToDate>
  <CharactersWithSpaces>18364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Национална Концепция за Регионално и Пространствено Развитие</dc:title>
  <dc:subject>НКРПР</dc:subject>
  <dc:creator>NCRD</dc:creator>
  <cp:keywords>НКРПР</cp:keywords>
  <cp:lastModifiedBy>DESISLAVA TODOROVA DAKOVA</cp:lastModifiedBy>
  <cp:revision>8</cp:revision>
  <cp:lastPrinted>2026-01-05T13:31:00Z</cp:lastPrinted>
  <dcterms:created xsi:type="dcterms:W3CDTF">2026-02-04T12:20:00Z</dcterms:created>
  <dcterms:modified xsi:type="dcterms:W3CDTF">2026-03-09T07:28:00Z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1033-12.1.23153.23153</vt:lpwstr>
  </property>
  <property fmtid="{D5CDD505-2E9C-101B-9397-08002B2CF9AE}" pid="3" name="ICV">
    <vt:lpwstr>52332F38A60A36821E456669970B9643_42</vt:lpwstr>
  </property>
</Properties>
</file>